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6B078715"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A354EC">
        <w:rPr>
          <w:rFonts w:ascii="Arial" w:hAnsi="Arial" w:cs="Arial"/>
          <w:b/>
          <w:bCs/>
          <w:sz w:val="28"/>
        </w:rPr>
        <w:t>3</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85092D" w:rsidRPr="0085092D">
        <w:rPr>
          <w:rFonts w:ascii="Arial" w:hAnsi="Arial" w:cs="Arial"/>
          <w:b/>
          <w:bCs/>
          <w:sz w:val="28"/>
        </w:rPr>
        <w:t>R1-20</w:t>
      </w:r>
      <w:r w:rsidR="005735C3">
        <w:rPr>
          <w:rFonts w:ascii="Arial" w:hAnsi="Arial" w:cs="Arial"/>
          <w:b/>
          <w:bCs/>
          <w:sz w:val="28"/>
        </w:rPr>
        <w:t>08596</w:t>
      </w:r>
    </w:p>
    <w:p w14:paraId="7FAA0A76" w14:textId="576BF4FE"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A354EC">
        <w:rPr>
          <w:rFonts w:ascii="Arial" w:hAnsi="Arial" w:cs="Arial"/>
          <w:b/>
          <w:bCs/>
          <w:sz w:val="28"/>
          <w:szCs w:val="28"/>
          <w:lang w:eastAsia="zh-CN"/>
        </w:rPr>
        <w:t>Oct.</w:t>
      </w:r>
      <w:r w:rsidR="00D95033">
        <w:rPr>
          <w:rFonts w:ascii="Arial" w:hAnsi="Arial" w:cs="Arial"/>
          <w:b/>
          <w:bCs/>
          <w:sz w:val="28"/>
          <w:szCs w:val="28"/>
          <w:lang w:eastAsia="ja-JP"/>
        </w:rPr>
        <w:t xml:space="preserve"> </w:t>
      </w:r>
      <w:r w:rsidR="00A354EC">
        <w:rPr>
          <w:rFonts w:ascii="Arial" w:hAnsi="Arial" w:cs="Arial"/>
          <w:b/>
          <w:bCs/>
          <w:sz w:val="28"/>
          <w:szCs w:val="28"/>
          <w:lang w:eastAsia="ja-JP"/>
        </w:rPr>
        <w:t>26</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A354EC">
        <w:rPr>
          <w:rFonts w:ascii="Arial" w:hAnsi="Arial" w:cs="Arial"/>
          <w:b/>
          <w:bCs/>
          <w:sz w:val="28"/>
          <w:szCs w:val="28"/>
          <w:lang w:eastAsia="ja-JP"/>
        </w:rPr>
        <w:t>Nov.</w:t>
      </w:r>
      <w:r w:rsidR="002679DD">
        <w:rPr>
          <w:rFonts w:ascii="Arial" w:hAnsi="Arial" w:cs="Arial"/>
          <w:b/>
          <w:bCs/>
          <w:sz w:val="28"/>
          <w:szCs w:val="28"/>
          <w:lang w:eastAsia="ja-JP"/>
        </w:rPr>
        <w:t xml:space="preserve"> </w:t>
      </w:r>
      <w:r w:rsidR="00A354EC">
        <w:rPr>
          <w:rFonts w:ascii="Arial" w:hAnsi="Arial" w:cs="Arial"/>
          <w:b/>
          <w:bCs/>
          <w:sz w:val="28"/>
          <w:szCs w:val="28"/>
          <w:lang w:eastAsia="ja-JP"/>
        </w:rPr>
        <w:t>13</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2020</w:t>
      </w:r>
    </w:p>
    <w:p w14:paraId="0DCC4F68" w14:textId="2A3E437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5</w:t>
      </w:r>
      <w:r w:rsidR="0023014C">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A52F3AB"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1DC5" w:rsidRPr="00571DC5">
        <w:rPr>
          <w:rFonts w:ascii="Arial" w:hAnsi="Arial"/>
          <w:sz w:val="24"/>
        </w:rPr>
        <w:t>Di</w:t>
      </w:r>
      <w:r w:rsidR="00571DC5">
        <w:rPr>
          <w:rFonts w:ascii="Arial" w:hAnsi="Arial"/>
          <w:sz w:val="24"/>
        </w:rPr>
        <w:t>s</w:t>
      </w:r>
      <w:r w:rsidR="00571DC5" w:rsidRPr="00571DC5">
        <w:rPr>
          <w:rFonts w:ascii="Arial" w:hAnsi="Arial"/>
          <w:sz w:val="24"/>
        </w:rPr>
        <w:t>cussion on 1Tx-2Tx switching impact in RAN1</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471F2F03" w14:textId="4D10BDDE" w:rsidR="004C3FD9" w:rsidRPr="007D45DC" w:rsidRDefault="007D45DC" w:rsidP="007D45DC">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In the last couple meetings, we conclude most of the feature but with some leftover issues which will impact the implementation. </w:t>
      </w:r>
      <w:r w:rsidR="007C586D" w:rsidRPr="007D45DC">
        <w:rPr>
          <w:rFonts w:ascii="Times New Roman" w:eastAsia="Times New Roman" w:hAnsi="Times New Roman"/>
          <w:b w:val="0"/>
          <w:sz w:val="20"/>
          <w:lang w:eastAsia="zh-CN"/>
        </w:rPr>
        <w:t xml:space="preserve">In this contribution, we </w:t>
      </w:r>
      <w:r w:rsidR="00ED5B48" w:rsidRPr="007D45DC">
        <w:rPr>
          <w:rFonts w:ascii="Times New Roman" w:eastAsia="Times New Roman" w:hAnsi="Times New Roman"/>
          <w:b w:val="0"/>
          <w:sz w:val="20"/>
          <w:lang w:eastAsia="zh-CN"/>
        </w:rPr>
        <w:t xml:space="preserve">present our views on </w:t>
      </w:r>
      <w:r w:rsidR="00D77B80" w:rsidRPr="007D45DC">
        <w:rPr>
          <w:rFonts w:ascii="Times New Roman" w:eastAsia="Times New Roman" w:hAnsi="Times New Roman"/>
          <w:b w:val="0"/>
          <w:sz w:val="20"/>
          <w:lang w:eastAsia="zh-CN"/>
        </w:rPr>
        <w:t xml:space="preserve">the </w:t>
      </w:r>
      <w:r w:rsidR="00FD210A" w:rsidRPr="007D45DC">
        <w:rPr>
          <w:rFonts w:ascii="Times New Roman" w:eastAsia="Times New Roman" w:hAnsi="Times New Roman"/>
          <w:b w:val="0"/>
          <w:sz w:val="20"/>
          <w:lang w:eastAsia="zh-CN"/>
        </w:rPr>
        <w:t>open issues</w:t>
      </w:r>
      <w:r w:rsidR="003147BA" w:rsidRPr="007D45DC">
        <w:rPr>
          <w:rFonts w:ascii="Times New Roman" w:eastAsia="Times New Roman" w:hAnsi="Times New Roman"/>
          <w:b w:val="0"/>
          <w:sz w:val="20"/>
          <w:lang w:eastAsia="zh-CN"/>
        </w:rPr>
        <w:t xml:space="preserve"> for this topic</w:t>
      </w:r>
      <w:r w:rsidR="00BD7619">
        <w:rPr>
          <w:rFonts w:ascii="Times New Roman" w:eastAsia="Times New Roman" w:hAnsi="Times New Roman"/>
          <w:b w:val="0"/>
          <w:sz w:val="20"/>
          <w:lang w:eastAsia="zh-CN"/>
        </w:rPr>
        <w:t xml:space="preserve">, which are </w:t>
      </w:r>
      <w:r w:rsidR="0071643A">
        <w:rPr>
          <w:rFonts w:ascii="Times New Roman" w:eastAsia="Times New Roman" w:hAnsi="Times New Roman"/>
          <w:b w:val="0"/>
          <w:sz w:val="20"/>
          <w:lang w:eastAsia="zh-CN"/>
        </w:rPr>
        <w:t xml:space="preserve">1) </w:t>
      </w:r>
      <w:r w:rsidR="00BD7619">
        <w:rPr>
          <w:rFonts w:ascii="Times New Roman" w:eastAsia="Times New Roman" w:hAnsi="Times New Roman"/>
          <w:b w:val="0"/>
          <w:sz w:val="20"/>
          <w:lang w:eastAsia="zh-CN"/>
        </w:rPr>
        <w:t xml:space="preserve">SRS switching together with Tx Switching, </w:t>
      </w:r>
      <w:r w:rsidR="00643DDD">
        <w:rPr>
          <w:rFonts w:ascii="Times New Roman" w:eastAsia="Times New Roman" w:hAnsi="Times New Roman"/>
          <w:b w:val="0"/>
          <w:sz w:val="20"/>
          <w:lang w:eastAsia="zh-CN"/>
        </w:rPr>
        <w:t xml:space="preserve">2) </w:t>
      </w:r>
      <w:r w:rsidR="0071643A">
        <w:rPr>
          <w:rFonts w:ascii="Times New Roman" w:eastAsia="Times New Roman" w:hAnsi="Times New Roman"/>
          <w:b w:val="0"/>
          <w:sz w:val="20"/>
          <w:lang w:eastAsia="zh-CN"/>
        </w:rPr>
        <w:t>back to back switching caused by SRS transmission</w:t>
      </w:r>
      <w:r w:rsidR="00643DDD">
        <w:rPr>
          <w:rFonts w:ascii="Times New Roman" w:eastAsia="Times New Roman" w:hAnsi="Times New Roman"/>
          <w:b w:val="0"/>
          <w:sz w:val="20"/>
          <w:lang w:eastAsia="zh-CN"/>
        </w:rPr>
        <w:t xml:space="preserve"> and 3) max data rate</w:t>
      </w:r>
      <w:r w:rsidR="0071643A">
        <w:rPr>
          <w:rFonts w:ascii="Times New Roman" w:eastAsia="Times New Roman" w:hAnsi="Times New Roman"/>
          <w:b w:val="0"/>
          <w:sz w:val="20"/>
          <w:lang w:eastAsia="zh-CN"/>
        </w:rPr>
        <w:t>.</w:t>
      </w:r>
    </w:p>
    <w:p w14:paraId="77805783" w14:textId="0C0E8953" w:rsidR="0098300C" w:rsidRPr="0021472F" w:rsidRDefault="0098300C" w:rsidP="007A27FD">
      <w:pPr>
        <w:pStyle w:val="Default"/>
        <w:rPr>
          <w:bCs/>
          <w:sz w:val="20"/>
          <w:szCs w:val="20"/>
          <w:highlight w:val="yellow"/>
        </w:rPr>
      </w:pPr>
      <w:bookmarkStart w:id="2" w:name="_Ref473802466"/>
      <w:bookmarkStart w:id="3" w:name="_Ref462669569"/>
    </w:p>
    <w:p w14:paraId="343AC252" w14:textId="32C0A23F" w:rsidR="00BB63F2" w:rsidRPr="00BB63F2" w:rsidRDefault="00BB63F2" w:rsidP="00BB63F2">
      <w:pPr>
        <w:pStyle w:val="Heading1"/>
        <w:rPr>
          <w:lang w:eastAsia="zh-CN"/>
        </w:rPr>
      </w:pPr>
      <w:r w:rsidRPr="00BB63F2">
        <w:rPr>
          <w:lang w:eastAsia="zh-CN"/>
        </w:rPr>
        <w:t>UL Tx switching together with CA-based SRS switching</w:t>
      </w:r>
    </w:p>
    <w:p w14:paraId="6073197B" w14:textId="72C7FF32" w:rsidR="00BB63F2" w:rsidRDefault="00BB63F2" w:rsidP="00BB63F2"/>
    <w:p w14:paraId="4A71FBE9" w14:textId="37C359D3" w:rsidR="00B15ABC" w:rsidRDefault="00B15ABC" w:rsidP="00BB63F2">
      <w:r>
        <w:t xml:space="preserve">For SRS switching with the assumption that beyond CC1 and CC2, there is CC3 which is </w:t>
      </w:r>
      <w:r w:rsidR="00124207">
        <w:t>not configured for PUSCH/PUCCH</w:t>
      </w:r>
      <w:r w:rsidR="00FC2542">
        <w:t xml:space="preserve"> transmission</w:t>
      </w:r>
      <w:r w:rsidR="00DD4A59">
        <w:t xml:space="preserve">. </w:t>
      </w:r>
      <w:r w:rsidR="00785756">
        <w:t xml:space="preserve">For this case, </w:t>
      </w:r>
      <w:r w:rsidR="00184794">
        <w:t>when</w:t>
      </w:r>
      <w:r w:rsidR="00E21A6E">
        <w:t xml:space="preserve"> </w:t>
      </w:r>
      <w:proofErr w:type="spellStart"/>
      <w:r w:rsidR="00E21A6E">
        <w:t>gNB</w:t>
      </w:r>
      <w:proofErr w:type="spellEnd"/>
      <w:r w:rsidR="00E21A6E">
        <w:t xml:space="preserve"> makes the switching decision, it needs to consider the</w:t>
      </w:r>
      <w:r w:rsidR="00D02757">
        <w:t xml:space="preserve"> SRS switching </w:t>
      </w:r>
      <w:r w:rsidR="005A6BA8">
        <w:t>on</w:t>
      </w:r>
      <w:r w:rsidR="00E21A6E">
        <w:t xml:space="preserve"> CC3</w:t>
      </w:r>
      <w:r w:rsidR="005A6BA8">
        <w:t xml:space="preserve"> as the RF chain may not be available</w:t>
      </w:r>
      <w:r w:rsidR="00E21A6E">
        <w:t>.</w:t>
      </w:r>
    </w:p>
    <w:p w14:paraId="1633529B" w14:textId="77777777" w:rsidR="00014009" w:rsidRDefault="00F73474" w:rsidP="00BB63F2">
      <w:r>
        <w:t xml:space="preserve">For </w:t>
      </w:r>
      <w:r w:rsidR="000D3028">
        <w:t xml:space="preserve">example, </w:t>
      </w:r>
      <w:r w:rsidR="00B01E8A">
        <w:t xml:space="preserve">during the SRS transmission on CC3 and the interruption time caused by RF tuning, </w:t>
      </w:r>
      <w:r w:rsidR="008256A7">
        <w:t>CC2 is not expected to be scheduled or configured with 2-port transmission</w:t>
      </w:r>
      <w:r w:rsidR="00C67F2E">
        <w:t>, or CC1 is not expected to be scheduled or configured with 1-port transmission</w:t>
      </w:r>
      <w:r w:rsidR="00014009">
        <w:t>.</w:t>
      </w:r>
    </w:p>
    <w:p w14:paraId="0DD51AFB" w14:textId="39051442" w:rsidR="00E9024A" w:rsidRDefault="00014009" w:rsidP="00BB63F2">
      <w:r>
        <w:t xml:space="preserve">For the following discussion, we assume that CC1 and CC2 are configured with UL Tx switching, CC3 is not configured with PUSCH/PUCCH and there is carrier-based SRS switching configured where CC2 is the ‘source’ and CC3 is the ‘target’ of the SRS switching. </w:t>
      </w:r>
      <w:r w:rsidR="00C67F2E">
        <w:t xml:space="preserve"> </w:t>
      </w:r>
      <w:r w:rsidR="008256A7">
        <w:t xml:space="preserve"> </w:t>
      </w:r>
    </w:p>
    <w:p w14:paraId="7B42E53C" w14:textId="163605B4" w:rsidR="00014009" w:rsidRDefault="00014009" w:rsidP="00BB63F2">
      <w:r>
        <w:t xml:space="preserve">In a first example, there is PUCCH transmission on CC1, there is no scheduled transmission on </w:t>
      </w:r>
      <w:proofErr w:type="gramStart"/>
      <w:r>
        <w:t>CC2</w:t>
      </w:r>
      <w:proofErr w:type="gramEnd"/>
      <w:r>
        <w:t xml:space="preserve"> and an SRS transmission is supposed to occur in CC3 at the same time. According to the current requirements, the UE would be expected to transmit SRS on CC3. However, </w:t>
      </w:r>
      <w:r w:rsidR="00E579FA">
        <w:t xml:space="preserve">when the UE Tx chain is used for PUCCH transmission on CC1, the SRS transmission should not take place and the specification should reflect this. </w:t>
      </w:r>
    </w:p>
    <w:p w14:paraId="31859698" w14:textId="77777777" w:rsidR="00197361" w:rsidRDefault="00197361" w:rsidP="00BB63F2"/>
    <w:p w14:paraId="2E1C229D" w14:textId="0468225F" w:rsidR="00014009" w:rsidRDefault="00014009" w:rsidP="00014009">
      <w:pPr>
        <w:rPr>
          <w:b/>
          <w:bCs/>
        </w:rPr>
      </w:pPr>
      <w:r w:rsidRPr="0031095D">
        <w:rPr>
          <w:b/>
          <w:bCs/>
        </w:rPr>
        <w:t>Proposal 1</w:t>
      </w:r>
      <w:r>
        <w:rPr>
          <w:b/>
          <w:bCs/>
        </w:rPr>
        <w:t xml:space="preserve">: In the prioritization for SRS switching considers the state of carriers configured with UL Tx switching jointly.  </w:t>
      </w:r>
      <w:r w:rsidR="00E579FA">
        <w:rPr>
          <w:b/>
          <w:bCs/>
        </w:rPr>
        <w:t xml:space="preserve">As an example, if SRS switching is configured between CC2 and CC3 then in the prioritization the state of CC1 also needs to be considered if CC1 and CC2 are configured with UL Tx switching. </w:t>
      </w:r>
    </w:p>
    <w:p w14:paraId="29FB5694" w14:textId="203E486F" w:rsidR="00E579FA" w:rsidRDefault="00E579FA" w:rsidP="00014009">
      <w:pPr>
        <w:rPr>
          <w:b/>
          <w:bCs/>
        </w:rPr>
      </w:pPr>
    </w:p>
    <w:p w14:paraId="1DF737B8" w14:textId="4E6799B3" w:rsidR="00C56CA5" w:rsidRDefault="00C56CA5" w:rsidP="00C56CA5">
      <w:r>
        <w:t>As a second example, assume PUSCH transmission on CC1 followed by PUSCH transmission on CC2. Both transmissions overlap with SRS transmission on CC3, or with a guard period needed for the SRS transmission on CC3. In this case, the PUSCH transmission on CC1 should be dropped, even though the current specification doesn’t allow this.  The specification should reflect the SRS impact on CC1.</w:t>
      </w:r>
    </w:p>
    <w:p w14:paraId="778046A9" w14:textId="77777777" w:rsidR="00C56CA5" w:rsidRPr="0031095D" w:rsidRDefault="00C56CA5" w:rsidP="00C56CA5">
      <w:pPr>
        <w:rPr>
          <w:b/>
          <w:bCs/>
        </w:rPr>
      </w:pPr>
    </w:p>
    <w:p w14:paraId="5D662D05" w14:textId="5C9239A2" w:rsidR="00C56CA5" w:rsidRDefault="00C56CA5" w:rsidP="00C56CA5">
      <w:pPr>
        <w:rPr>
          <w:b/>
          <w:bCs/>
        </w:rPr>
      </w:pPr>
      <w:r w:rsidRPr="0031095D">
        <w:rPr>
          <w:b/>
          <w:bCs/>
        </w:rPr>
        <w:lastRenderedPageBreak/>
        <w:t xml:space="preserve">Proposal </w:t>
      </w:r>
      <w:r>
        <w:rPr>
          <w:b/>
          <w:bCs/>
        </w:rPr>
        <w:t xml:space="preserve">2: Define requirements allowing dropping transmissions on a </w:t>
      </w:r>
      <w:r w:rsidR="00466BB8">
        <w:rPr>
          <w:b/>
          <w:bCs/>
        </w:rPr>
        <w:t xml:space="preserve">CC due to SRS transmission on another CC, even if this CC is not configured with SRS switching, as long as the CC is configured with UL Tx switching.  </w:t>
      </w:r>
    </w:p>
    <w:p w14:paraId="70B9F4B5" w14:textId="28EDC36F" w:rsidR="00466BB8" w:rsidRDefault="00466BB8" w:rsidP="00C56CA5">
      <w:pPr>
        <w:rPr>
          <w:b/>
          <w:bCs/>
        </w:rPr>
      </w:pPr>
    </w:p>
    <w:p w14:paraId="754063FA" w14:textId="7E7783EC" w:rsidR="00466BB8" w:rsidRDefault="00466BB8" w:rsidP="00466BB8">
      <w:r>
        <w:t xml:space="preserve">As a third example, assume PUSCH transmission on CC1 </w:t>
      </w:r>
      <w:r w:rsidR="00197361">
        <w:t xml:space="preserve">is </w:t>
      </w:r>
      <w:r>
        <w:t xml:space="preserve">immediately followed by PUSCH transmission on CC2 that would require switching between Case1 and Case2. Both transmissions overlap with SRS transmission on CC3, or with a guard period needed for the SRS transmission on CC3. In this case, both PUSCH transmissions are dropped. The specification needs to define what the resulting UE state (Case1 vs. Case2) should be in this case. </w:t>
      </w:r>
    </w:p>
    <w:p w14:paraId="4248713F" w14:textId="77777777" w:rsidR="00466BB8" w:rsidRPr="0031095D" w:rsidRDefault="00466BB8" w:rsidP="00466BB8">
      <w:pPr>
        <w:rPr>
          <w:b/>
          <w:bCs/>
        </w:rPr>
      </w:pPr>
    </w:p>
    <w:p w14:paraId="76BFBC50" w14:textId="77777777" w:rsidR="00466BB8" w:rsidRPr="000975D2" w:rsidRDefault="00466BB8" w:rsidP="00466BB8">
      <w:pPr>
        <w:rPr>
          <w:b/>
          <w:bCs/>
        </w:rPr>
      </w:pPr>
      <w:r w:rsidRPr="00466BB8">
        <w:rPr>
          <w:b/>
          <w:bCs/>
        </w:rPr>
        <w:t>Proposal 3: Choose one of th</w:t>
      </w:r>
      <w:r w:rsidRPr="000975D2">
        <w:rPr>
          <w:b/>
          <w:bCs/>
        </w:rPr>
        <w:t xml:space="preserve">e following options: </w:t>
      </w:r>
    </w:p>
    <w:p w14:paraId="27CCBB55" w14:textId="58259312" w:rsidR="00466BB8" w:rsidRPr="00466BB8" w:rsidRDefault="00466BB8" w:rsidP="00466BB8">
      <w:pPr>
        <w:pStyle w:val="ListParagraph"/>
        <w:numPr>
          <w:ilvl w:val="0"/>
          <w:numId w:val="39"/>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ring the SRS transmission on CC3 and the interruption time caused by RF tuning, UE is not expected to be scheduled or configured with other transmission requiring UL Tx switching</w:t>
      </w:r>
    </w:p>
    <w:p w14:paraId="702D4870" w14:textId="3487FE8B" w:rsidR="00466BB8" w:rsidRPr="00466BB8" w:rsidRDefault="00466BB8" w:rsidP="00466BB8">
      <w:pPr>
        <w:pStyle w:val="ListParagraph"/>
        <w:numPr>
          <w:ilvl w:val="0"/>
          <w:numId w:val="39"/>
        </w:numPr>
        <w:rPr>
          <w:rFonts w:ascii="Times New Roman" w:hAnsi="Times New Roman"/>
          <w:b/>
          <w:bCs/>
          <w:sz w:val="20"/>
          <w:szCs w:val="20"/>
        </w:rPr>
      </w:pPr>
      <w:r w:rsidRPr="00466BB8">
        <w:rPr>
          <w:rFonts w:ascii="Times New Roman" w:hAnsi="Times New Roman"/>
          <w:b/>
          <w:bCs/>
          <w:sz w:val="20"/>
          <w:szCs w:val="20"/>
        </w:rPr>
        <w:t>Define</w:t>
      </w:r>
      <w:r>
        <w:rPr>
          <w:rFonts w:ascii="Times New Roman" w:hAnsi="Times New Roman"/>
          <w:b/>
          <w:bCs/>
          <w:sz w:val="20"/>
          <w:szCs w:val="20"/>
        </w:rPr>
        <w:t xml:space="preserve"> </w:t>
      </w:r>
      <w:r w:rsidRPr="00466BB8">
        <w:rPr>
          <w:rFonts w:ascii="Times New Roman" w:hAnsi="Times New Roman"/>
          <w:b/>
          <w:bCs/>
          <w:sz w:val="20"/>
          <w:szCs w:val="20"/>
        </w:rPr>
        <w:t>rules on the order in which the UE state vs. dropping decisions are</w:t>
      </w:r>
      <w:r>
        <w:rPr>
          <w:rFonts w:ascii="Times New Roman" w:hAnsi="Times New Roman"/>
          <w:b/>
          <w:bCs/>
          <w:sz w:val="20"/>
          <w:szCs w:val="20"/>
        </w:rPr>
        <w:t xml:space="preserve"> being</w:t>
      </w:r>
      <w:r w:rsidRPr="00466BB8">
        <w:rPr>
          <w:rFonts w:ascii="Times New Roman" w:hAnsi="Times New Roman"/>
          <w:b/>
          <w:bCs/>
          <w:sz w:val="20"/>
          <w:szCs w:val="20"/>
        </w:rPr>
        <w:t xml:space="preserve"> made  </w:t>
      </w:r>
    </w:p>
    <w:p w14:paraId="7E28A5F4" w14:textId="47675EB0" w:rsidR="00630C0D" w:rsidRDefault="00630C0D" w:rsidP="00BB63F2"/>
    <w:p w14:paraId="17EC0638" w14:textId="71ABBE47" w:rsidR="00643DDD" w:rsidRPr="00BB63F2" w:rsidRDefault="00643DDD" w:rsidP="00643DDD">
      <w:pPr>
        <w:pStyle w:val="Heading1"/>
        <w:rPr>
          <w:lang w:eastAsia="zh-CN"/>
        </w:rPr>
      </w:pPr>
      <w:r>
        <w:rPr>
          <w:lang w:eastAsia="zh-CN"/>
        </w:rPr>
        <w:t>Back to back</w:t>
      </w:r>
      <w:r w:rsidRPr="00BB63F2">
        <w:rPr>
          <w:lang w:eastAsia="zh-CN"/>
        </w:rPr>
        <w:t xml:space="preserve"> </w:t>
      </w:r>
      <w:r>
        <w:rPr>
          <w:lang w:eastAsia="zh-CN"/>
        </w:rPr>
        <w:t xml:space="preserve">switching caused by </w:t>
      </w:r>
      <w:r w:rsidRPr="00BB63F2">
        <w:rPr>
          <w:lang w:eastAsia="zh-CN"/>
        </w:rPr>
        <w:t xml:space="preserve">SRS </w:t>
      </w:r>
      <w:r>
        <w:rPr>
          <w:lang w:eastAsia="zh-CN"/>
        </w:rPr>
        <w:t>transmission</w:t>
      </w:r>
    </w:p>
    <w:p w14:paraId="6D030894" w14:textId="633F30D3" w:rsidR="003D6BA3" w:rsidRDefault="003D6BA3" w:rsidP="003D6BA3">
      <w:pPr>
        <w:rPr>
          <w:lang w:eastAsia="zh-CN"/>
        </w:rPr>
      </w:pPr>
      <w:r>
        <w:t>During the discussion, we found RAN1 does not clarify whether the following back to back switching cases should be supported or not. In the following case, we assume transient time is 2 symbols and both CCs are with same SCS for simplicity. Symbols 0-10 of CC2 are PUSCH 2-port transmission and symbol 13 is SRS of CC1. RF chains need to be switched back to CC1 as 2-port PUSCH is expected.</w:t>
      </w:r>
      <w:r w:rsidR="00AA47E8">
        <w:tab/>
      </w:r>
    </w:p>
    <w:p w14:paraId="49AE8DA4" w14:textId="435BB085" w:rsidR="008455D2" w:rsidRPr="003D6BA3" w:rsidRDefault="008455D2" w:rsidP="00BB63F2"/>
    <w:tbl>
      <w:tblPr>
        <w:tblW w:w="10610" w:type="dxa"/>
        <w:jc w:val="center"/>
        <w:tblLook w:val="04A0" w:firstRow="1" w:lastRow="0" w:firstColumn="1" w:lastColumn="0" w:noHBand="0" w:noVBand="1"/>
      </w:tblPr>
      <w:tblGrid>
        <w:gridCol w:w="801"/>
        <w:gridCol w:w="345"/>
        <w:gridCol w:w="345"/>
        <w:gridCol w:w="345"/>
        <w:gridCol w:w="345"/>
        <w:gridCol w:w="345"/>
        <w:gridCol w:w="345"/>
        <w:gridCol w:w="345"/>
        <w:gridCol w:w="345"/>
        <w:gridCol w:w="345"/>
        <w:gridCol w:w="345"/>
        <w:gridCol w:w="419"/>
        <w:gridCol w:w="419"/>
        <w:gridCol w:w="419"/>
        <w:gridCol w:w="419"/>
        <w:gridCol w:w="343"/>
        <w:gridCol w:w="343"/>
        <w:gridCol w:w="345"/>
        <w:gridCol w:w="345"/>
        <w:gridCol w:w="345"/>
        <w:gridCol w:w="345"/>
        <w:gridCol w:w="345"/>
        <w:gridCol w:w="345"/>
        <w:gridCol w:w="345"/>
        <w:gridCol w:w="345"/>
        <w:gridCol w:w="419"/>
        <w:gridCol w:w="419"/>
        <w:gridCol w:w="419"/>
        <w:gridCol w:w="419"/>
      </w:tblGrid>
      <w:tr w:rsidR="00643DDD" w:rsidRPr="00984E6F" w14:paraId="2CE57E3F" w14:textId="77777777" w:rsidTr="00BD17DF">
        <w:trPr>
          <w:trHeight w:val="308"/>
          <w:jc w:val="center"/>
        </w:trPr>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882D8"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symbol #</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39D076CE"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0</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0D6A8A9D"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4B547157"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2</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018CFB50"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3</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1891E456"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4</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2FF17A88"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5</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5DF676BA"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6</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5335B26C"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7</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4E0AAA28"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8</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0A2EA0F8"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9</w:t>
            </w:r>
          </w:p>
        </w:tc>
        <w:tc>
          <w:tcPr>
            <w:tcW w:w="403" w:type="dxa"/>
            <w:tcBorders>
              <w:top w:val="single" w:sz="4" w:space="0" w:color="auto"/>
              <w:left w:val="nil"/>
              <w:bottom w:val="single" w:sz="4" w:space="0" w:color="auto"/>
              <w:right w:val="single" w:sz="4" w:space="0" w:color="auto"/>
            </w:tcBorders>
            <w:shd w:val="clear" w:color="auto" w:fill="auto"/>
            <w:noWrap/>
            <w:vAlign w:val="bottom"/>
            <w:hideMark/>
          </w:tcPr>
          <w:p w14:paraId="39E1F4CE"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10</w:t>
            </w:r>
          </w:p>
        </w:tc>
        <w:tc>
          <w:tcPr>
            <w:tcW w:w="403" w:type="dxa"/>
            <w:tcBorders>
              <w:top w:val="single" w:sz="4" w:space="0" w:color="auto"/>
              <w:left w:val="nil"/>
              <w:bottom w:val="single" w:sz="4" w:space="0" w:color="auto"/>
              <w:right w:val="single" w:sz="4" w:space="0" w:color="auto"/>
            </w:tcBorders>
            <w:shd w:val="clear" w:color="auto" w:fill="auto"/>
            <w:noWrap/>
            <w:vAlign w:val="bottom"/>
            <w:hideMark/>
          </w:tcPr>
          <w:p w14:paraId="2C794AD8"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11</w:t>
            </w:r>
          </w:p>
        </w:tc>
        <w:tc>
          <w:tcPr>
            <w:tcW w:w="403" w:type="dxa"/>
            <w:tcBorders>
              <w:top w:val="single" w:sz="4" w:space="0" w:color="auto"/>
              <w:left w:val="nil"/>
              <w:bottom w:val="single" w:sz="4" w:space="0" w:color="auto"/>
              <w:right w:val="single" w:sz="4" w:space="0" w:color="auto"/>
            </w:tcBorders>
            <w:shd w:val="clear" w:color="auto" w:fill="auto"/>
            <w:noWrap/>
            <w:vAlign w:val="bottom"/>
            <w:hideMark/>
          </w:tcPr>
          <w:p w14:paraId="4439094D"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12</w:t>
            </w:r>
          </w:p>
        </w:tc>
        <w:tc>
          <w:tcPr>
            <w:tcW w:w="403" w:type="dxa"/>
            <w:tcBorders>
              <w:top w:val="single" w:sz="4" w:space="0" w:color="auto"/>
              <w:left w:val="nil"/>
              <w:bottom w:val="single" w:sz="4" w:space="0" w:color="auto"/>
              <w:right w:val="single" w:sz="4" w:space="0" w:color="auto"/>
            </w:tcBorders>
            <w:shd w:val="clear" w:color="auto" w:fill="auto"/>
            <w:noWrap/>
            <w:vAlign w:val="bottom"/>
            <w:hideMark/>
          </w:tcPr>
          <w:p w14:paraId="5B2697BA"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13</w:t>
            </w:r>
          </w:p>
        </w:tc>
        <w:tc>
          <w:tcPr>
            <w:tcW w:w="329" w:type="dxa"/>
            <w:tcBorders>
              <w:top w:val="single" w:sz="4" w:space="0" w:color="auto"/>
              <w:left w:val="nil"/>
              <w:bottom w:val="single" w:sz="4" w:space="0" w:color="auto"/>
              <w:right w:val="single" w:sz="4" w:space="0" w:color="auto"/>
            </w:tcBorders>
            <w:shd w:val="clear" w:color="auto" w:fill="auto"/>
            <w:noWrap/>
            <w:vAlign w:val="bottom"/>
            <w:hideMark/>
          </w:tcPr>
          <w:p w14:paraId="7297A2B8"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0</w:t>
            </w:r>
          </w:p>
        </w:tc>
        <w:tc>
          <w:tcPr>
            <w:tcW w:w="329" w:type="dxa"/>
            <w:tcBorders>
              <w:top w:val="single" w:sz="4" w:space="0" w:color="auto"/>
              <w:left w:val="nil"/>
              <w:bottom w:val="single" w:sz="4" w:space="0" w:color="auto"/>
              <w:right w:val="single" w:sz="4" w:space="0" w:color="auto"/>
            </w:tcBorders>
            <w:shd w:val="clear" w:color="auto" w:fill="auto"/>
            <w:noWrap/>
            <w:vAlign w:val="bottom"/>
            <w:hideMark/>
          </w:tcPr>
          <w:p w14:paraId="3E4A591E"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45499982"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2</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3392E040"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3</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24B1D0CB"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4</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54A3B18B"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5</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26DF0B5F"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6</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55C4083D"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7</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5C7CE5FF"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8</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3E905FAC"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9</w:t>
            </w:r>
          </w:p>
        </w:tc>
        <w:tc>
          <w:tcPr>
            <w:tcW w:w="403" w:type="dxa"/>
            <w:tcBorders>
              <w:top w:val="single" w:sz="4" w:space="0" w:color="auto"/>
              <w:left w:val="nil"/>
              <w:bottom w:val="single" w:sz="4" w:space="0" w:color="auto"/>
              <w:right w:val="single" w:sz="4" w:space="0" w:color="auto"/>
            </w:tcBorders>
            <w:shd w:val="clear" w:color="auto" w:fill="auto"/>
            <w:noWrap/>
            <w:vAlign w:val="bottom"/>
            <w:hideMark/>
          </w:tcPr>
          <w:p w14:paraId="43B322E0"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10</w:t>
            </w:r>
          </w:p>
        </w:tc>
        <w:tc>
          <w:tcPr>
            <w:tcW w:w="403" w:type="dxa"/>
            <w:tcBorders>
              <w:top w:val="single" w:sz="4" w:space="0" w:color="auto"/>
              <w:left w:val="nil"/>
              <w:bottom w:val="single" w:sz="4" w:space="0" w:color="auto"/>
              <w:right w:val="single" w:sz="4" w:space="0" w:color="auto"/>
            </w:tcBorders>
            <w:shd w:val="clear" w:color="auto" w:fill="auto"/>
            <w:noWrap/>
            <w:vAlign w:val="bottom"/>
            <w:hideMark/>
          </w:tcPr>
          <w:p w14:paraId="4A4DB99A"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11</w:t>
            </w:r>
          </w:p>
        </w:tc>
        <w:tc>
          <w:tcPr>
            <w:tcW w:w="403" w:type="dxa"/>
            <w:tcBorders>
              <w:top w:val="single" w:sz="4" w:space="0" w:color="auto"/>
              <w:left w:val="nil"/>
              <w:bottom w:val="single" w:sz="4" w:space="0" w:color="auto"/>
              <w:right w:val="single" w:sz="4" w:space="0" w:color="auto"/>
            </w:tcBorders>
            <w:shd w:val="clear" w:color="auto" w:fill="auto"/>
            <w:noWrap/>
            <w:vAlign w:val="bottom"/>
            <w:hideMark/>
          </w:tcPr>
          <w:p w14:paraId="22D614B3"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12</w:t>
            </w:r>
          </w:p>
        </w:tc>
        <w:tc>
          <w:tcPr>
            <w:tcW w:w="403" w:type="dxa"/>
            <w:tcBorders>
              <w:top w:val="single" w:sz="4" w:space="0" w:color="auto"/>
              <w:left w:val="nil"/>
              <w:bottom w:val="single" w:sz="4" w:space="0" w:color="auto"/>
              <w:right w:val="single" w:sz="4" w:space="0" w:color="auto"/>
            </w:tcBorders>
            <w:shd w:val="clear" w:color="auto" w:fill="auto"/>
            <w:noWrap/>
            <w:vAlign w:val="bottom"/>
            <w:hideMark/>
          </w:tcPr>
          <w:p w14:paraId="09E4E302" w14:textId="77777777" w:rsidR="00643DDD" w:rsidRPr="00984E6F" w:rsidRDefault="00643DDD" w:rsidP="00482B17">
            <w:pPr>
              <w:overflowPunct/>
              <w:autoSpaceDE/>
              <w:autoSpaceDN/>
              <w:adjustRightInd/>
              <w:spacing w:after="0"/>
              <w:jc w:val="right"/>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13</w:t>
            </w:r>
          </w:p>
        </w:tc>
      </w:tr>
      <w:tr w:rsidR="00BD17DF" w:rsidRPr="00984E6F" w14:paraId="5E4AF3D6" w14:textId="77777777" w:rsidTr="00BD17DF">
        <w:trPr>
          <w:trHeight w:val="308"/>
          <w:jc w:val="center"/>
        </w:trPr>
        <w:tc>
          <w:tcPr>
            <w:tcW w:w="770" w:type="dxa"/>
            <w:tcBorders>
              <w:top w:val="nil"/>
              <w:left w:val="single" w:sz="4" w:space="0" w:color="auto"/>
              <w:bottom w:val="single" w:sz="4" w:space="0" w:color="auto"/>
              <w:right w:val="single" w:sz="4" w:space="0" w:color="auto"/>
            </w:tcBorders>
            <w:shd w:val="clear" w:color="auto" w:fill="auto"/>
            <w:noWrap/>
            <w:vAlign w:val="bottom"/>
            <w:hideMark/>
          </w:tcPr>
          <w:p w14:paraId="7B290B67"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CC2</w:t>
            </w:r>
          </w:p>
        </w:tc>
        <w:tc>
          <w:tcPr>
            <w:tcW w:w="331" w:type="dxa"/>
            <w:tcBorders>
              <w:top w:val="nil"/>
              <w:left w:val="nil"/>
              <w:bottom w:val="single" w:sz="4" w:space="0" w:color="auto"/>
              <w:right w:val="single" w:sz="4" w:space="0" w:color="auto"/>
            </w:tcBorders>
            <w:shd w:val="clear" w:color="000000" w:fill="70AD47"/>
            <w:noWrap/>
            <w:vAlign w:val="bottom"/>
            <w:hideMark/>
          </w:tcPr>
          <w:p w14:paraId="70A76A6C"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61AAA2C0"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6A3280C8"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2E835B1D"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004B34F1"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603AA703"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45261766"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615C8F33"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36EE8DFD"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78CA036A"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403" w:type="dxa"/>
            <w:tcBorders>
              <w:top w:val="nil"/>
              <w:left w:val="nil"/>
              <w:bottom w:val="single" w:sz="4" w:space="0" w:color="auto"/>
              <w:right w:val="single" w:sz="4" w:space="0" w:color="auto"/>
            </w:tcBorders>
            <w:shd w:val="clear" w:color="000000" w:fill="70AD47"/>
            <w:noWrap/>
            <w:vAlign w:val="bottom"/>
            <w:hideMark/>
          </w:tcPr>
          <w:p w14:paraId="78F1F7E9"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403" w:type="dxa"/>
            <w:tcBorders>
              <w:top w:val="nil"/>
              <w:left w:val="nil"/>
              <w:bottom w:val="single" w:sz="4" w:space="0" w:color="auto"/>
              <w:right w:val="single" w:sz="4" w:space="0" w:color="auto"/>
            </w:tcBorders>
            <w:shd w:val="clear" w:color="000000" w:fill="ED7D31"/>
            <w:noWrap/>
            <w:vAlign w:val="bottom"/>
            <w:hideMark/>
          </w:tcPr>
          <w:p w14:paraId="75C08FF7"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G</w:t>
            </w:r>
          </w:p>
        </w:tc>
        <w:tc>
          <w:tcPr>
            <w:tcW w:w="403" w:type="dxa"/>
            <w:tcBorders>
              <w:top w:val="nil"/>
              <w:left w:val="nil"/>
              <w:bottom w:val="single" w:sz="4" w:space="0" w:color="auto"/>
              <w:right w:val="single" w:sz="4" w:space="0" w:color="auto"/>
            </w:tcBorders>
            <w:shd w:val="clear" w:color="000000" w:fill="ED7D31"/>
            <w:noWrap/>
            <w:vAlign w:val="bottom"/>
            <w:hideMark/>
          </w:tcPr>
          <w:p w14:paraId="775FED57"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G</w:t>
            </w:r>
          </w:p>
        </w:tc>
        <w:tc>
          <w:tcPr>
            <w:tcW w:w="403" w:type="dxa"/>
            <w:tcBorders>
              <w:top w:val="nil"/>
              <w:left w:val="nil"/>
              <w:bottom w:val="single" w:sz="4" w:space="0" w:color="auto"/>
              <w:right w:val="single" w:sz="4" w:space="0" w:color="auto"/>
            </w:tcBorders>
            <w:shd w:val="clear" w:color="auto" w:fill="auto"/>
            <w:noWrap/>
            <w:vAlign w:val="bottom"/>
            <w:hideMark/>
          </w:tcPr>
          <w:p w14:paraId="36211120"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 </w:t>
            </w:r>
          </w:p>
        </w:tc>
        <w:tc>
          <w:tcPr>
            <w:tcW w:w="329" w:type="dxa"/>
            <w:tcBorders>
              <w:top w:val="nil"/>
              <w:left w:val="nil"/>
              <w:bottom w:val="single" w:sz="4" w:space="0" w:color="auto"/>
              <w:right w:val="single" w:sz="4" w:space="0" w:color="auto"/>
            </w:tcBorders>
            <w:shd w:val="clear" w:color="000000" w:fill="ED7D31"/>
            <w:noWrap/>
            <w:vAlign w:val="bottom"/>
            <w:hideMark/>
          </w:tcPr>
          <w:p w14:paraId="2D9ACF78"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G</w:t>
            </w:r>
          </w:p>
        </w:tc>
        <w:tc>
          <w:tcPr>
            <w:tcW w:w="329" w:type="dxa"/>
            <w:tcBorders>
              <w:top w:val="nil"/>
              <w:left w:val="nil"/>
              <w:bottom w:val="single" w:sz="4" w:space="0" w:color="auto"/>
              <w:right w:val="single" w:sz="4" w:space="0" w:color="auto"/>
            </w:tcBorders>
            <w:shd w:val="clear" w:color="000000" w:fill="ED7D31"/>
            <w:noWrap/>
            <w:vAlign w:val="bottom"/>
            <w:hideMark/>
          </w:tcPr>
          <w:p w14:paraId="2715F614"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G</w:t>
            </w:r>
          </w:p>
        </w:tc>
        <w:tc>
          <w:tcPr>
            <w:tcW w:w="331" w:type="dxa"/>
            <w:tcBorders>
              <w:top w:val="nil"/>
              <w:left w:val="nil"/>
              <w:bottom w:val="single" w:sz="4" w:space="0" w:color="auto"/>
              <w:right w:val="single" w:sz="4" w:space="0" w:color="auto"/>
            </w:tcBorders>
            <w:shd w:val="clear" w:color="000000" w:fill="70AD47"/>
            <w:noWrap/>
            <w:vAlign w:val="bottom"/>
            <w:hideMark/>
          </w:tcPr>
          <w:p w14:paraId="108E1BAF"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36C8C7D1"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4FA65C17"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3C27BCEA"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5B873FB0"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6EA3253E"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03D8A15B"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331" w:type="dxa"/>
            <w:tcBorders>
              <w:top w:val="nil"/>
              <w:left w:val="nil"/>
              <w:bottom w:val="single" w:sz="4" w:space="0" w:color="auto"/>
              <w:right w:val="single" w:sz="4" w:space="0" w:color="auto"/>
            </w:tcBorders>
            <w:shd w:val="clear" w:color="000000" w:fill="70AD47"/>
            <w:noWrap/>
            <w:vAlign w:val="bottom"/>
            <w:hideMark/>
          </w:tcPr>
          <w:p w14:paraId="28B2CDD7"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403" w:type="dxa"/>
            <w:tcBorders>
              <w:top w:val="nil"/>
              <w:left w:val="nil"/>
              <w:bottom w:val="single" w:sz="4" w:space="0" w:color="auto"/>
              <w:right w:val="single" w:sz="4" w:space="0" w:color="auto"/>
            </w:tcBorders>
            <w:shd w:val="clear" w:color="000000" w:fill="70AD47"/>
            <w:noWrap/>
            <w:vAlign w:val="bottom"/>
            <w:hideMark/>
          </w:tcPr>
          <w:p w14:paraId="6E8F8A45"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U</w:t>
            </w:r>
          </w:p>
        </w:tc>
        <w:tc>
          <w:tcPr>
            <w:tcW w:w="403" w:type="dxa"/>
            <w:tcBorders>
              <w:top w:val="nil"/>
              <w:left w:val="nil"/>
              <w:bottom w:val="single" w:sz="4" w:space="0" w:color="auto"/>
              <w:right w:val="single" w:sz="4" w:space="0" w:color="auto"/>
            </w:tcBorders>
            <w:shd w:val="clear" w:color="000000" w:fill="ED7D31"/>
            <w:noWrap/>
            <w:vAlign w:val="bottom"/>
            <w:hideMark/>
          </w:tcPr>
          <w:p w14:paraId="13B858C1"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G</w:t>
            </w:r>
          </w:p>
        </w:tc>
        <w:tc>
          <w:tcPr>
            <w:tcW w:w="403" w:type="dxa"/>
            <w:tcBorders>
              <w:top w:val="nil"/>
              <w:left w:val="nil"/>
              <w:bottom w:val="single" w:sz="4" w:space="0" w:color="auto"/>
              <w:right w:val="single" w:sz="4" w:space="0" w:color="auto"/>
            </w:tcBorders>
            <w:shd w:val="clear" w:color="000000" w:fill="ED7D31"/>
            <w:noWrap/>
            <w:vAlign w:val="bottom"/>
            <w:hideMark/>
          </w:tcPr>
          <w:p w14:paraId="223195F1"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G</w:t>
            </w:r>
          </w:p>
        </w:tc>
        <w:tc>
          <w:tcPr>
            <w:tcW w:w="403" w:type="dxa"/>
            <w:tcBorders>
              <w:top w:val="nil"/>
              <w:left w:val="nil"/>
              <w:bottom w:val="single" w:sz="4" w:space="0" w:color="auto"/>
              <w:right w:val="single" w:sz="4" w:space="0" w:color="auto"/>
            </w:tcBorders>
            <w:shd w:val="clear" w:color="auto" w:fill="auto"/>
            <w:noWrap/>
            <w:vAlign w:val="bottom"/>
            <w:hideMark/>
          </w:tcPr>
          <w:p w14:paraId="6352105F"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 </w:t>
            </w:r>
          </w:p>
        </w:tc>
      </w:tr>
      <w:tr w:rsidR="00BD17DF" w:rsidRPr="00984E6F" w14:paraId="62765DAF" w14:textId="77777777" w:rsidTr="0031095D">
        <w:trPr>
          <w:trHeight w:val="308"/>
          <w:jc w:val="center"/>
        </w:trPr>
        <w:tc>
          <w:tcPr>
            <w:tcW w:w="770" w:type="dxa"/>
            <w:tcBorders>
              <w:top w:val="nil"/>
              <w:left w:val="single" w:sz="4" w:space="0" w:color="auto"/>
              <w:bottom w:val="single" w:sz="4" w:space="0" w:color="auto"/>
              <w:right w:val="single" w:sz="4" w:space="0" w:color="auto"/>
            </w:tcBorders>
            <w:shd w:val="clear" w:color="auto" w:fill="auto"/>
            <w:noWrap/>
            <w:vAlign w:val="bottom"/>
          </w:tcPr>
          <w:p w14:paraId="7C794516"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CC1</w:t>
            </w:r>
          </w:p>
        </w:tc>
        <w:tc>
          <w:tcPr>
            <w:tcW w:w="331" w:type="dxa"/>
            <w:tcBorders>
              <w:top w:val="nil"/>
              <w:left w:val="nil"/>
              <w:bottom w:val="single" w:sz="4" w:space="0" w:color="auto"/>
              <w:right w:val="single" w:sz="4" w:space="0" w:color="auto"/>
            </w:tcBorders>
            <w:shd w:val="clear" w:color="auto" w:fill="auto"/>
            <w:noWrap/>
            <w:vAlign w:val="bottom"/>
          </w:tcPr>
          <w:p w14:paraId="535C4FDB"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auto"/>
            <w:noWrap/>
            <w:vAlign w:val="bottom"/>
          </w:tcPr>
          <w:p w14:paraId="17706FEF"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auto"/>
            <w:noWrap/>
            <w:vAlign w:val="bottom"/>
          </w:tcPr>
          <w:p w14:paraId="4F82E277"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auto"/>
            <w:noWrap/>
            <w:vAlign w:val="bottom"/>
          </w:tcPr>
          <w:p w14:paraId="6B36C35F"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auto"/>
            <w:noWrap/>
            <w:vAlign w:val="bottom"/>
          </w:tcPr>
          <w:p w14:paraId="2EF2130B"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auto"/>
            <w:noWrap/>
            <w:vAlign w:val="bottom"/>
          </w:tcPr>
          <w:p w14:paraId="17D14678"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auto"/>
            <w:noWrap/>
            <w:vAlign w:val="bottom"/>
          </w:tcPr>
          <w:p w14:paraId="52892948"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auto"/>
            <w:noWrap/>
            <w:vAlign w:val="bottom"/>
          </w:tcPr>
          <w:p w14:paraId="73019821"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auto"/>
            <w:noWrap/>
            <w:vAlign w:val="bottom"/>
          </w:tcPr>
          <w:p w14:paraId="1F361630"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auto"/>
            <w:noWrap/>
            <w:vAlign w:val="bottom"/>
          </w:tcPr>
          <w:p w14:paraId="78FDEE00"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403" w:type="dxa"/>
            <w:tcBorders>
              <w:top w:val="nil"/>
              <w:left w:val="nil"/>
              <w:bottom w:val="single" w:sz="4" w:space="0" w:color="auto"/>
              <w:right w:val="single" w:sz="4" w:space="0" w:color="auto"/>
            </w:tcBorders>
            <w:shd w:val="clear" w:color="auto" w:fill="auto"/>
            <w:noWrap/>
            <w:vAlign w:val="bottom"/>
          </w:tcPr>
          <w:p w14:paraId="40A0698A"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403" w:type="dxa"/>
            <w:tcBorders>
              <w:top w:val="nil"/>
              <w:left w:val="nil"/>
              <w:bottom w:val="single" w:sz="4" w:space="0" w:color="auto"/>
              <w:right w:val="single" w:sz="4" w:space="0" w:color="auto"/>
            </w:tcBorders>
            <w:shd w:val="clear" w:color="auto" w:fill="FFFFFF" w:themeFill="background1"/>
            <w:noWrap/>
            <w:vAlign w:val="bottom"/>
          </w:tcPr>
          <w:p w14:paraId="64FDB091"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403" w:type="dxa"/>
            <w:tcBorders>
              <w:top w:val="nil"/>
              <w:left w:val="nil"/>
              <w:bottom w:val="single" w:sz="4" w:space="0" w:color="auto"/>
              <w:right w:val="single" w:sz="4" w:space="0" w:color="auto"/>
            </w:tcBorders>
            <w:shd w:val="clear" w:color="auto" w:fill="FFFFFF" w:themeFill="background1"/>
            <w:noWrap/>
            <w:vAlign w:val="bottom"/>
          </w:tcPr>
          <w:p w14:paraId="736B97EB"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403" w:type="dxa"/>
            <w:tcBorders>
              <w:top w:val="nil"/>
              <w:left w:val="nil"/>
              <w:bottom w:val="single" w:sz="4" w:space="0" w:color="auto"/>
              <w:right w:val="single" w:sz="4" w:space="0" w:color="auto"/>
            </w:tcBorders>
            <w:shd w:val="clear" w:color="auto" w:fill="70AD47" w:themeFill="accent6"/>
            <w:noWrap/>
            <w:vAlign w:val="bottom"/>
          </w:tcPr>
          <w:p w14:paraId="01B00C22" w14:textId="0C524F70" w:rsidR="00643DDD" w:rsidRPr="00984E6F" w:rsidRDefault="002F1C7D" w:rsidP="00482B17">
            <w:pPr>
              <w:overflowPunct/>
              <w:autoSpaceDE/>
              <w:autoSpaceDN/>
              <w:adjustRightInd/>
              <w:spacing w:after="0"/>
              <w:textAlignment w:val="auto"/>
              <w:rPr>
                <w:rFonts w:ascii="Calibri" w:eastAsia="Times New Roman" w:hAnsi="Calibri" w:cs="Calibri"/>
                <w:color w:val="000000"/>
                <w:lang w:eastAsia="zh-CN"/>
              </w:rPr>
            </w:pPr>
            <w:r>
              <w:rPr>
                <w:rFonts w:ascii="Calibri" w:eastAsia="Times New Roman" w:hAnsi="Calibri" w:cs="Calibri"/>
                <w:color w:val="000000"/>
                <w:lang w:eastAsia="zh-CN"/>
              </w:rPr>
              <w:t>S</w:t>
            </w:r>
          </w:p>
        </w:tc>
        <w:tc>
          <w:tcPr>
            <w:tcW w:w="329" w:type="dxa"/>
            <w:tcBorders>
              <w:top w:val="nil"/>
              <w:left w:val="nil"/>
              <w:bottom w:val="single" w:sz="4" w:space="0" w:color="auto"/>
              <w:right w:val="single" w:sz="4" w:space="0" w:color="auto"/>
            </w:tcBorders>
            <w:shd w:val="clear" w:color="auto" w:fill="FFFFFF" w:themeFill="background1"/>
            <w:noWrap/>
            <w:vAlign w:val="bottom"/>
          </w:tcPr>
          <w:p w14:paraId="59CE2E45"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29" w:type="dxa"/>
            <w:tcBorders>
              <w:top w:val="nil"/>
              <w:left w:val="nil"/>
              <w:bottom w:val="single" w:sz="4" w:space="0" w:color="auto"/>
              <w:right w:val="single" w:sz="4" w:space="0" w:color="auto"/>
            </w:tcBorders>
            <w:shd w:val="clear" w:color="auto" w:fill="FFFFFF" w:themeFill="background1"/>
            <w:noWrap/>
            <w:vAlign w:val="bottom"/>
          </w:tcPr>
          <w:p w14:paraId="55D1F691"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FFFFFF" w:themeFill="background1"/>
            <w:noWrap/>
            <w:vAlign w:val="bottom"/>
          </w:tcPr>
          <w:p w14:paraId="72ECFFED"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FFFFFF" w:themeFill="background1"/>
            <w:noWrap/>
            <w:vAlign w:val="bottom"/>
          </w:tcPr>
          <w:p w14:paraId="09230C7B"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FFFFFF" w:themeFill="background1"/>
            <w:noWrap/>
            <w:vAlign w:val="bottom"/>
          </w:tcPr>
          <w:p w14:paraId="20A27505"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FFFFFF" w:themeFill="background1"/>
            <w:noWrap/>
            <w:vAlign w:val="bottom"/>
          </w:tcPr>
          <w:p w14:paraId="13700C59"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FFFFFF" w:themeFill="background1"/>
            <w:noWrap/>
            <w:vAlign w:val="bottom"/>
          </w:tcPr>
          <w:p w14:paraId="4C966967"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FFFFFF" w:themeFill="background1"/>
            <w:noWrap/>
            <w:vAlign w:val="bottom"/>
          </w:tcPr>
          <w:p w14:paraId="415681AA"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FFFFFF" w:themeFill="background1"/>
            <w:noWrap/>
            <w:vAlign w:val="bottom"/>
          </w:tcPr>
          <w:p w14:paraId="2EB92A28"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331" w:type="dxa"/>
            <w:tcBorders>
              <w:top w:val="nil"/>
              <w:left w:val="nil"/>
              <w:bottom w:val="single" w:sz="4" w:space="0" w:color="auto"/>
              <w:right w:val="single" w:sz="4" w:space="0" w:color="auto"/>
            </w:tcBorders>
            <w:shd w:val="clear" w:color="auto" w:fill="FFFFFF" w:themeFill="background1"/>
            <w:noWrap/>
            <w:vAlign w:val="bottom"/>
          </w:tcPr>
          <w:p w14:paraId="1092FA61"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403" w:type="dxa"/>
            <w:tcBorders>
              <w:top w:val="nil"/>
              <w:left w:val="nil"/>
              <w:bottom w:val="single" w:sz="4" w:space="0" w:color="auto"/>
              <w:right w:val="single" w:sz="4" w:space="0" w:color="auto"/>
            </w:tcBorders>
            <w:shd w:val="clear" w:color="auto" w:fill="FFFFFF" w:themeFill="background1"/>
            <w:noWrap/>
            <w:vAlign w:val="bottom"/>
          </w:tcPr>
          <w:p w14:paraId="719C1767"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403" w:type="dxa"/>
            <w:tcBorders>
              <w:top w:val="nil"/>
              <w:left w:val="nil"/>
              <w:bottom w:val="single" w:sz="4" w:space="0" w:color="auto"/>
              <w:right w:val="single" w:sz="4" w:space="0" w:color="auto"/>
            </w:tcBorders>
            <w:shd w:val="clear" w:color="auto" w:fill="FFFFFF" w:themeFill="background1"/>
            <w:noWrap/>
            <w:vAlign w:val="bottom"/>
          </w:tcPr>
          <w:p w14:paraId="0C3AC527"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403" w:type="dxa"/>
            <w:tcBorders>
              <w:top w:val="nil"/>
              <w:left w:val="nil"/>
              <w:bottom w:val="single" w:sz="4" w:space="0" w:color="auto"/>
              <w:right w:val="single" w:sz="4" w:space="0" w:color="auto"/>
            </w:tcBorders>
            <w:shd w:val="clear" w:color="auto" w:fill="FFFFFF" w:themeFill="background1"/>
            <w:noWrap/>
            <w:vAlign w:val="bottom"/>
          </w:tcPr>
          <w:p w14:paraId="45AA3106"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p>
        </w:tc>
        <w:tc>
          <w:tcPr>
            <w:tcW w:w="403" w:type="dxa"/>
            <w:tcBorders>
              <w:top w:val="nil"/>
              <w:left w:val="nil"/>
              <w:bottom w:val="single" w:sz="4" w:space="0" w:color="auto"/>
              <w:right w:val="single" w:sz="4" w:space="0" w:color="auto"/>
            </w:tcBorders>
            <w:shd w:val="clear" w:color="auto" w:fill="70AD47" w:themeFill="accent6"/>
            <w:noWrap/>
            <w:vAlign w:val="bottom"/>
          </w:tcPr>
          <w:p w14:paraId="2D279470" w14:textId="77777777" w:rsidR="00643DDD" w:rsidRPr="00984E6F" w:rsidRDefault="00643DDD" w:rsidP="00482B17">
            <w:pPr>
              <w:overflowPunct/>
              <w:autoSpaceDE/>
              <w:autoSpaceDN/>
              <w:adjustRightInd/>
              <w:spacing w:after="0"/>
              <w:textAlignment w:val="auto"/>
              <w:rPr>
                <w:rFonts w:ascii="Calibri" w:eastAsia="Times New Roman" w:hAnsi="Calibri" w:cs="Calibri"/>
                <w:color w:val="000000"/>
                <w:lang w:eastAsia="zh-CN"/>
              </w:rPr>
            </w:pPr>
            <w:r w:rsidRPr="00984E6F">
              <w:rPr>
                <w:rFonts w:ascii="Calibri" w:eastAsia="Times New Roman" w:hAnsi="Calibri" w:cs="Calibri"/>
                <w:color w:val="000000"/>
                <w:lang w:eastAsia="zh-CN"/>
              </w:rPr>
              <w:t>S</w:t>
            </w:r>
          </w:p>
        </w:tc>
      </w:tr>
    </w:tbl>
    <w:p w14:paraId="2F8FA8B9" w14:textId="77777777" w:rsidR="00643DDD" w:rsidRDefault="00643DDD" w:rsidP="00BB63F2"/>
    <w:p w14:paraId="14A63836" w14:textId="21314CDE" w:rsidR="00C157CB" w:rsidRDefault="00C157CB" w:rsidP="00BB63F2">
      <w:r>
        <w:t>In our view, we don’t think this case should be supported under the concept of UL Tx switching as it consumes too many symbols as switching gaps. If RAN1 can be with the consensus that this case should not be supported, we need to find a method to avoid this case.</w:t>
      </w:r>
    </w:p>
    <w:p w14:paraId="7867A3F7" w14:textId="3F8A7FAB" w:rsidR="0025265D" w:rsidRPr="0025265D" w:rsidRDefault="0025265D" w:rsidP="0025265D">
      <w:pPr>
        <w:rPr>
          <w:b/>
          <w:bCs/>
        </w:rPr>
      </w:pPr>
      <w:bookmarkStart w:id="4" w:name="OLE_LINK7"/>
      <w:r w:rsidRPr="0025265D">
        <w:rPr>
          <w:b/>
          <w:bCs/>
        </w:rPr>
        <w:t xml:space="preserve">Proposal </w:t>
      </w:r>
      <w:r w:rsidR="000975D2">
        <w:rPr>
          <w:b/>
          <w:bCs/>
        </w:rPr>
        <w:t>4</w:t>
      </w:r>
      <w:r w:rsidRPr="0025265D">
        <w:rPr>
          <w:b/>
          <w:bCs/>
        </w:rPr>
        <w:t xml:space="preserve">: </w:t>
      </w:r>
      <w:r>
        <w:rPr>
          <w:b/>
          <w:bCs/>
        </w:rPr>
        <w:t xml:space="preserve">propose to conclude NOT to support </w:t>
      </w:r>
      <w:r w:rsidR="00412B4B">
        <w:rPr>
          <w:b/>
          <w:bCs/>
        </w:rPr>
        <w:t xml:space="preserve">switching caused by </w:t>
      </w:r>
      <w:r w:rsidR="002F18D9">
        <w:rPr>
          <w:b/>
          <w:bCs/>
        </w:rPr>
        <w:t xml:space="preserve">SRS </w:t>
      </w:r>
      <w:r w:rsidR="00412B4B">
        <w:rPr>
          <w:b/>
          <w:bCs/>
        </w:rPr>
        <w:t>transmission or other reasons</w:t>
      </w:r>
      <w:r>
        <w:rPr>
          <w:b/>
          <w:bCs/>
        </w:rPr>
        <w:t>.</w:t>
      </w:r>
    </w:p>
    <w:bookmarkEnd w:id="4"/>
    <w:p w14:paraId="4AC5E59D" w14:textId="45747102" w:rsidR="00C157CB" w:rsidRDefault="00155CC4" w:rsidP="00BB63F2">
      <w:r>
        <w:t>If we can reach the</w:t>
      </w:r>
      <w:r w:rsidR="00412B4B">
        <w:t xml:space="preserve"> above consensus, </w:t>
      </w:r>
      <w:r>
        <w:t>i</w:t>
      </w:r>
      <w:r w:rsidR="00C157CB">
        <w:t xml:space="preserve">n general, </w:t>
      </w:r>
      <w:r>
        <w:t xml:space="preserve">we think </w:t>
      </w:r>
      <w:r w:rsidR="00C157CB">
        <w:t>there are two possible methods</w:t>
      </w:r>
      <w:r>
        <w:t xml:space="preserve"> to avoid </w:t>
      </w:r>
      <w:r w:rsidR="00415899">
        <w:t>it</w:t>
      </w:r>
      <w:r w:rsidR="00C157CB">
        <w:t>:</w:t>
      </w:r>
    </w:p>
    <w:p w14:paraId="79B61929" w14:textId="65E95BE5" w:rsidR="00BB63F2" w:rsidRPr="00254F10" w:rsidRDefault="00C157CB" w:rsidP="00C157CB">
      <w:pPr>
        <w:pStyle w:val="ListParagraph"/>
        <w:numPr>
          <w:ilvl w:val="0"/>
          <w:numId w:val="17"/>
        </w:numPr>
        <w:rPr>
          <w:rFonts w:ascii="Times New Roman" w:hAnsi="Times New Roman"/>
          <w:sz w:val="20"/>
          <w:szCs w:val="20"/>
        </w:rPr>
      </w:pPr>
      <w:r w:rsidRPr="00254F10">
        <w:rPr>
          <w:rFonts w:ascii="Times New Roman" w:hAnsi="Times New Roman"/>
          <w:sz w:val="20"/>
          <w:szCs w:val="20"/>
        </w:rPr>
        <w:t xml:space="preserve">Option 1: </w:t>
      </w:r>
      <w:r w:rsidR="00254F10" w:rsidRPr="00254F10">
        <w:rPr>
          <w:rFonts w:ascii="Times New Roman" w:hAnsi="Times New Roman"/>
          <w:sz w:val="20"/>
          <w:szCs w:val="20"/>
        </w:rPr>
        <w:t>only allow</w:t>
      </w:r>
      <w:r w:rsidRPr="00254F10">
        <w:rPr>
          <w:rFonts w:ascii="Times New Roman" w:hAnsi="Times New Roman"/>
          <w:sz w:val="20"/>
          <w:szCs w:val="20"/>
        </w:rPr>
        <w:t xml:space="preserve"> the </w:t>
      </w:r>
      <w:r w:rsidR="00254F10" w:rsidRPr="00254F10">
        <w:rPr>
          <w:rFonts w:ascii="Times New Roman" w:hAnsi="Times New Roman"/>
          <w:sz w:val="20"/>
          <w:szCs w:val="20"/>
        </w:rPr>
        <w:t>switching at the slot boundary</w:t>
      </w:r>
    </w:p>
    <w:p w14:paraId="447756CE" w14:textId="53F4EDFF" w:rsidR="00254F10" w:rsidRPr="00254F10" w:rsidRDefault="00254F10" w:rsidP="00C157CB">
      <w:pPr>
        <w:pStyle w:val="ListParagraph"/>
        <w:numPr>
          <w:ilvl w:val="0"/>
          <w:numId w:val="17"/>
        </w:numPr>
        <w:rPr>
          <w:rFonts w:ascii="Times New Roman" w:hAnsi="Times New Roman"/>
          <w:sz w:val="20"/>
          <w:szCs w:val="20"/>
        </w:rPr>
      </w:pPr>
      <w:r w:rsidRPr="00254F10">
        <w:rPr>
          <w:rFonts w:ascii="Times New Roman" w:hAnsi="Times New Roman"/>
          <w:sz w:val="20"/>
          <w:szCs w:val="20"/>
        </w:rPr>
        <w:t>Option 2: add restriction that no more than 1 switching in consecutive 14 symbols</w:t>
      </w:r>
    </w:p>
    <w:p w14:paraId="13AEA720" w14:textId="77777777" w:rsidR="0025265D" w:rsidRDefault="0025265D" w:rsidP="00BB63F2"/>
    <w:p w14:paraId="218F87CA" w14:textId="363A4978" w:rsidR="00254F10" w:rsidRDefault="00254F10" w:rsidP="00BB63F2">
      <w:r>
        <w:t>In the following two sections we have detail proposals for both options.</w:t>
      </w:r>
      <w:r w:rsidR="002F18D9">
        <w:t xml:space="preserve"> </w:t>
      </w:r>
    </w:p>
    <w:p w14:paraId="20358B4C" w14:textId="77777777" w:rsidR="00254F10" w:rsidRPr="00254F10" w:rsidRDefault="00254F10" w:rsidP="00254F10">
      <w:pPr>
        <w:pStyle w:val="Heading2"/>
        <w:ind w:left="576"/>
        <w:rPr>
          <w:lang w:eastAsia="zh-CN"/>
        </w:rPr>
      </w:pPr>
      <w:r w:rsidRPr="00254F10">
        <w:rPr>
          <w:lang w:eastAsia="zh-CN"/>
        </w:rPr>
        <w:t>Option 1: only allow the switching at the slot boundary</w:t>
      </w:r>
    </w:p>
    <w:p w14:paraId="63220525" w14:textId="16D9CC6D" w:rsidR="00A50BC5" w:rsidRDefault="00A50BC5" w:rsidP="002F18D9">
      <w:r>
        <w:t>During the past meetings, we already had quite a lot of discussion on the switching position</w:t>
      </w:r>
      <w:r w:rsidR="0038770D">
        <w:t xml:space="preserve">. Our view is always to put it on the slot boundary to avoid the back to back switching. </w:t>
      </w:r>
      <w:r w:rsidR="00F05B94">
        <w:t xml:space="preserve">Furthermore, </w:t>
      </w:r>
      <w:r w:rsidR="00F05B94">
        <w:rPr>
          <w:lang w:eastAsia="zh-CN"/>
        </w:rPr>
        <w:t>c</w:t>
      </w:r>
      <w:r w:rsidR="00F05B94" w:rsidRPr="0057497F">
        <w:rPr>
          <w:lang w:eastAsia="zh-CN"/>
        </w:rPr>
        <w:t xml:space="preserve">onsidering the motivation of this UL switching is to fully utilize the wide bandwidth of CC2 at high geometry area, we propose </w:t>
      </w:r>
      <w:r w:rsidR="00F05B94" w:rsidRPr="0057497F">
        <w:rPr>
          <w:b/>
          <w:bCs/>
          <w:lang w:eastAsia="zh-CN"/>
        </w:rPr>
        <w:t>to place the transient time always in CC1 (FDD) as default</w:t>
      </w:r>
      <w:r w:rsidR="00F05B94" w:rsidRPr="0057497F">
        <w:t xml:space="preserve"> to achieve better throughput with UL switching.</w:t>
      </w:r>
      <w:r w:rsidR="00F05B94">
        <w:t xml:space="preserve"> </w:t>
      </w:r>
    </w:p>
    <w:p w14:paraId="45A5713A" w14:textId="2B4A7973" w:rsidR="002F18D9" w:rsidRDefault="002F18D9" w:rsidP="002F18D9">
      <w:r>
        <w:t xml:space="preserve">As stated above, we propose the switch location should be always at a slot boundary in the CC with higher SCS. </w:t>
      </w:r>
    </w:p>
    <w:p w14:paraId="3EC4023C" w14:textId="77777777" w:rsidR="00FE584B" w:rsidRPr="0057497F" w:rsidRDefault="00FE584B" w:rsidP="00FE584B">
      <w:pPr>
        <w:rPr>
          <w:b/>
          <w:bCs/>
        </w:rPr>
      </w:pPr>
    </w:p>
    <w:p w14:paraId="07041BD1" w14:textId="4FAE90AD" w:rsidR="00004535" w:rsidRPr="0057497F" w:rsidRDefault="00776E5E" w:rsidP="00387662">
      <w:pPr>
        <w:keepNext/>
        <w:jc w:val="center"/>
      </w:pPr>
      <w:r w:rsidRPr="0057497F">
        <w:object w:dxaOrig="10201" w:dyaOrig="3841" w14:anchorId="10B7A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41pt" o:ole="">
            <v:imagedata r:id="rId11" o:title=""/>
          </v:shape>
          <o:OLEObject Type="Embed" ProgID="Visio.Drawing.15" ShapeID="_x0000_i1025" DrawAspect="Content" ObjectID="_1664402559" r:id="rId12"/>
        </w:object>
      </w:r>
    </w:p>
    <w:p w14:paraId="76F11795" w14:textId="5E436466" w:rsidR="00776E5E" w:rsidRPr="000B740E" w:rsidRDefault="00776E5E" w:rsidP="00776E5E">
      <w:pPr>
        <w:jc w:val="center"/>
        <w:rPr>
          <w:b/>
          <w:bCs/>
        </w:rPr>
      </w:pPr>
      <w:bookmarkStart w:id="5" w:name="_Ref37424538"/>
      <w:r w:rsidRPr="000B740E">
        <w:rPr>
          <w:b/>
          <w:bCs/>
        </w:rPr>
        <w:t xml:space="preserve">Figure </w:t>
      </w:r>
      <w:bookmarkEnd w:id="5"/>
      <w:r w:rsidR="008455D2" w:rsidRPr="000B740E">
        <w:rPr>
          <w:b/>
          <w:bCs/>
        </w:rPr>
        <w:t>2</w:t>
      </w:r>
      <w:r w:rsidR="00C63069" w:rsidRPr="000B740E">
        <w:rPr>
          <w:b/>
          <w:bCs/>
        </w:rPr>
        <w:t>:</w:t>
      </w:r>
      <w:r w:rsidR="003A0777" w:rsidRPr="000B740E">
        <w:rPr>
          <w:b/>
          <w:bCs/>
        </w:rPr>
        <w:t xml:space="preserve"> </w:t>
      </w:r>
      <w:r w:rsidR="00FE584B" w:rsidRPr="000B740E">
        <w:rPr>
          <w:b/>
          <w:bCs/>
        </w:rPr>
        <w:t>P</w:t>
      </w:r>
      <w:r w:rsidR="003A0777" w:rsidRPr="000B740E">
        <w:rPr>
          <w:b/>
          <w:bCs/>
        </w:rPr>
        <w:t>lacement of transient time</w:t>
      </w:r>
    </w:p>
    <w:p w14:paraId="5A6F838E" w14:textId="77777777" w:rsidR="000975D2" w:rsidRPr="0057497F" w:rsidRDefault="000975D2" w:rsidP="00776E5E">
      <w:pPr>
        <w:jc w:val="center"/>
      </w:pPr>
    </w:p>
    <w:p w14:paraId="64001FC8" w14:textId="7548CCF7" w:rsidR="00254F10" w:rsidRDefault="00254F10" w:rsidP="00254F10">
      <w:pPr>
        <w:pStyle w:val="Heading2"/>
        <w:ind w:left="576"/>
        <w:rPr>
          <w:lang w:eastAsia="zh-CN"/>
        </w:rPr>
      </w:pPr>
      <w:r w:rsidRPr="00254F10">
        <w:rPr>
          <w:lang w:eastAsia="zh-CN"/>
        </w:rPr>
        <w:t>Option 2: add restriction that no more than 1 switching in consecutive 14 symbols</w:t>
      </w:r>
    </w:p>
    <w:p w14:paraId="3585AB6A" w14:textId="74F39C41" w:rsidR="00387662" w:rsidRDefault="00387662" w:rsidP="00254F10">
      <w:pPr>
        <w:rPr>
          <w:b/>
          <w:bCs/>
        </w:rPr>
      </w:pPr>
    </w:p>
    <w:tbl>
      <w:tblPr>
        <w:tblStyle w:val="TableGrid"/>
        <w:tblW w:w="0" w:type="auto"/>
        <w:tblLook w:val="04A0" w:firstRow="1" w:lastRow="0" w:firstColumn="1" w:lastColumn="0" w:noHBand="0" w:noVBand="1"/>
      </w:tblPr>
      <w:tblGrid>
        <w:gridCol w:w="9962"/>
      </w:tblGrid>
      <w:tr w:rsidR="00254F10" w14:paraId="058BE417" w14:textId="77777777" w:rsidTr="00254F10">
        <w:tc>
          <w:tcPr>
            <w:tcW w:w="9962" w:type="dxa"/>
          </w:tcPr>
          <w:p w14:paraId="62B9F21D" w14:textId="77777777" w:rsidR="00254F10" w:rsidRDefault="00254F10" w:rsidP="00254F10">
            <w:pPr>
              <w:pStyle w:val="Heading3"/>
              <w:numPr>
                <w:ilvl w:val="0"/>
                <w:numId w:val="0"/>
              </w:numPr>
              <w:ind w:left="720" w:hanging="720"/>
              <w:outlineLvl w:val="2"/>
            </w:pPr>
            <w:bookmarkStart w:id="6" w:name="_Toc45810627"/>
            <w:bookmarkStart w:id="7" w:name="_Toc52457837"/>
            <w:r w:rsidRPr="00705185">
              <w:t>6.1.</w:t>
            </w:r>
            <w:r>
              <w:t>6</w:t>
            </w:r>
            <w:r>
              <w:tab/>
            </w:r>
            <w:r w:rsidRPr="00705185">
              <w:t>Uplink switching</w:t>
            </w:r>
            <w:bookmarkEnd w:id="6"/>
            <w:bookmarkEnd w:id="7"/>
          </w:p>
          <w:p w14:paraId="128A1F60" w14:textId="77777777" w:rsidR="00254F10" w:rsidRPr="00705185" w:rsidRDefault="00254F10" w:rsidP="00254F10">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uplinkTxSwitching-r16</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F42EC5">
              <w:rPr>
                <w:i/>
              </w:rPr>
              <w:t>uplinkTxSwitchingPeriod</w:t>
            </w:r>
            <w:r>
              <w:rPr>
                <w:i/>
              </w:rPr>
              <w:t>-</w:t>
            </w:r>
            <w:r w:rsidRPr="00662497">
              <w:rPr>
                <w:i/>
              </w:rPr>
              <w:t>r16</w:t>
            </w:r>
            <w:r w:rsidRPr="00983AB4">
              <w:t xml:space="preserve">: </w:t>
            </w:r>
          </w:p>
          <w:p w14:paraId="57E25B5F" w14:textId="77777777" w:rsidR="00254F10" w:rsidRDefault="00254F10" w:rsidP="00254F10">
            <w:pPr>
              <w:pStyle w:val="B1"/>
            </w:pPr>
            <w:r w:rsidRPr="00705185">
              <w:t>-</w:t>
            </w:r>
            <w:r w:rsidRPr="00705185">
              <w:tab/>
            </w:r>
            <w:bookmarkStart w:id="8" w:name="_Hlk39056336"/>
            <w:r>
              <w:t>If a</w:t>
            </w:r>
            <w:r w:rsidRPr="00705185">
              <w:t xml:space="preserve"> </w:t>
            </w:r>
            <w:r w:rsidRPr="00705185">
              <w:rPr>
                <w:lang w:val="en-AU"/>
              </w:rPr>
              <w:t>UE</w:t>
            </w:r>
            <w:r w:rsidRPr="00705185">
              <w:t xml:space="preserve"> </w:t>
            </w:r>
            <w:r>
              <w:t xml:space="preserve">indicated a capability for uplink switching with </w:t>
            </w:r>
            <w:bookmarkEnd w:id="8"/>
            <w:r w:rsidRPr="00961879">
              <w:rPr>
                <w:i/>
                <w:iCs/>
              </w:rPr>
              <w:t>uplinkTxSwitchRequested-r16</w:t>
            </w:r>
            <w:r w:rsidRPr="00705185">
              <w:t xml:space="preserve"> </w:t>
            </w:r>
            <w:r>
              <w:t>for a band combination, and if it is for that band combination</w:t>
            </w:r>
          </w:p>
          <w:p w14:paraId="21D83FE1" w14:textId="77777777" w:rsidR="00254F10" w:rsidRPr="00705185" w:rsidRDefault="00254F10" w:rsidP="00254F10">
            <w:pPr>
              <w:pStyle w:val="B2"/>
            </w:pPr>
            <w:r>
              <w:t>-</w:t>
            </w:r>
            <w:r>
              <w:tab/>
            </w:r>
            <w:bookmarkStart w:id="9" w:name="_Hlk38539049"/>
            <w:r>
              <w:t>C</w:t>
            </w:r>
            <w:r w:rsidRPr="00705185">
              <w:t xml:space="preserve">onfigured </w:t>
            </w:r>
            <w:r>
              <w:t xml:space="preserve">with </w:t>
            </w:r>
            <w:proofErr w:type="gramStart"/>
            <w:r>
              <w:rPr>
                <w:lang w:eastAsia="fr-FR"/>
              </w:rPr>
              <w:t>a</w:t>
            </w:r>
            <w:proofErr w:type="gramEnd"/>
            <w:r>
              <w:rPr>
                <w:lang w:eastAsia="fr-FR"/>
              </w:rPr>
              <w:t xml:space="preserve"> MCG using E-UTRA radio access and with a SCG using NR radio access (EN-DC)</w:t>
            </w:r>
            <w:r w:rsidRPr="00705185">
              <w:t xml:space="preserve">, </w:t>
            </w:r>
            <w:bookmarkEnd w:id="9"/>
            <w:r w:rsidRPr="00705185">
              <w:t>or</w:t>
            </w:r>
          </w:p>
          <w:p w14:paraId="00175197" w14:textId="77777777" w:rsidR="00254F10" w:rsidRPr="00705185" w:rsidRDefault="00254F10" w:rsidP="00254F10">
            <w:pPr>
              <w:pStyle w:val="B2"/>
            </w:pPr>
            <w:r w:rsidRPr="00983AB4">
              <w:t>-</w:t>
            </w:r>
            <w:r w:rsidRPr="00983AB4">
              <w:tab/>
            </w:r>
            <w:r>
              <w:t>C</w:t>
            </w:r>
            <w:r w:rsidRPr="00705185">
              <w:t xml:space="preserve">onfigured </w:t>
            </w:r>
            <w:r>
              <w:t>with uplink carrier aggregation</w:t>
            </w:r>
            <w:r w:rsidRPr="00705185">
              <w:t>, or</w:t>
            </w:r>
          </w:p>
          <w:p w14:paraId="19A1BFD6" w14:textId="77777777" w:rsidR="00254F10" w:rsidRPr="00705185" w:rsidRDefault="00254F10" w:rsidP="00254F10">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6D492E23" w14:textId="77777777" w:rsidR="00254F10" w:rsidRDefault="00254F10" w:rsidP="00254F10">
            <w:pPr>
              <w:pStyle w:val="B2"/>
            </w:pPr>
            <w:r>
              <w:tab/>
              <w:t xml:space="preserve">the conditions under which the switching gap may be </w:t>
            </w:r>
            <w:proofErr w:type="gramStart"/>
            <w:r>
              <w:t>present</w:t>
            </w:r>
            <w:proofErr w:type="gramEnd"/>
            <w:r>
              <w:t xml:space="preserve"> and the location of the switching gap are defined for each of the cases in clauses 6.1.6.1, 6.1.6.2, and 6.1.6.3 respectively.</w:t>
            </w:r>
          </w:p>
          <w:p w14:paraId="2B7BE175" w14:textId="77777777" w:rsidR="00254F10" w:rsidRDefault="00254F10" w:rsidP="00254F10">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8706B3">
              <w:rPr>
                <w:i/>
              </w:rPr>
              <w:t>T</w:t>
            </w:r>
            <w:r w:rsidRPr="008706B3">
              <w:rPr>
                <w:i/>
                <w:vertAlign w:val="subscript"/>
              </w:rPr>
              <w:t>0</w:t>
            </w:r>
            <w:r w:rsidRPr="008706B3">
              <w:rPr>
                <w:i/>
              </w:rPr>
              <w:t>-T</w:t>
            </w:r>
            <w:r w:rsidRPr="008706B3">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proofErr w:type="spellStart"/>
            <w:r w:rsidRPr="005545D2">
              <w:rPr>
                <w:i/>
              </w:rPr>
              <w:t>T</w:t>
            </w:r>
            <w:r w:rsidRPr="006C26D1">
              <w:rPr>
                <w:i/>
                <w:vertAlign w:val="subscript"/>
              </w:rPr>
              <w:t>offset</w:t>
            </w:r>
            <w:proofErr w:type="spellEnd"/>
            <w:r w:rsidRPr="00173C15">
              <w:t xml:space="preserve"> is</w:t>
            </w:r>
            <w:r>
              <w:t xml:space="preserve"> the UE processing procedure time defined for the uplink transmission triggering the switch given in clause 5.3, clause 5.4, clause 6.2.1, clause 6.4 and in clause 9 of [6, TS 38.213].</w:t>
            </w:r>
          </w:p>
          <w:p w14:paraId="4A8506C4" w14:textId="77777777" w:rsidR="00254F10" w:rsidRDefault="00254F10" w:rsidP="00254F10">
            <w:r w:rsidRPr="00C35920">
              <w:rPr>
                <w:highlight w:val="yellow"/>
              </w:rPr>
              <w:t xml:space="preserve">The UE does not expect to perform more than one uplink switching in a slot with </w:t>
            </w:r>
            <w:r w:rsidRPr="00C35920">
              <w:rPr>
                <w:i/>
                <w:highlight w:val="yellow"/>
                <w:lang w:val="en-AU"/>
              </w:rPr>
              <w:t>µ</w:t>
            </w:r>
            <w:r w:rsidRPr="00C35920">
              <w:rPr>
                <w:i/>
                <w:highlight w:val="yellow"/>
                <w:vertAlign w:val="subscript"/>
                <w:lang w:val="en-AU"/>
              </w:rPr>
              <w:t xml:space="preserve">UL </w:t>
            </w:r>
            <w:r w:rsidRPr="00C35920">
              <w:rPr>
                <w:highlight w:val="yellow"/>
                <w:lang w:val="en-AU"/>
              </w:rPr>
              <w:t>= max(</w:t>
            </w:r>
            <w:r w:rsidRPr="00C35920">
              <w:rPr>
                <w:i/>
                <w:highlight w:val="yellow"/>
                <w:lang w:val="en-AU"/>
              </w:rPr>
              <w:t>µ</w:t>
            </w:r>
            <w:r w:rsidRPr="00C35920">
              <w:rPr>
                <w:i/>
                <w:highlight w:val="yellow"/>
                <w:vertAlign w:val="subscript"/>
                <w:lang w:val="en-AU"/>
              </w:rPr>
              <w:t>UL,carrier1,</w:t>
            </w:r>
            <w:r w:rsidRPr="00C35920">
              <w:rPr>
                <w:i/>
                <w:highlight w:val="yellow"/>
                <w:lang w:val="en-AU"/>
              </w:rPr>
              <w:t xml:space="preserve"> µ</w:t>
            </w:r>
            <w:r w:rsidRPr="00C35920">
              <w:rPr>
                <w:i/>
                <w:highlight w:val="yellow"/>
                <w:vertAlign w:val="subscript"/>
                <w:lang w:val="en-AU"/>
              </w:rPr>
              <w:t>UL,carrier2</w:t>
            </w:r>
            <w:r w:rsidRPr="00C35920">
              <w:rPr>
                <w:highlight w:val="yellow"/>
                <w:lang w:val="en-AU"/>
              </w:rPr>
              <w:t xml:space="preserve">), </w:t>
            </w:r>
            <w:r w:rsidRPr="00C35920">
              <w:rPr>
                <w:highlight w:val="yellow"/>
              </w:rPr>
              <w:t xml:space="preserve">where the </w:t>
            </w:r>
            <w:r w:rsidRPr="00C35920">
              <w:rPr>
                <w:i/>
                <w:highlight w:val="yellow"/>
                <w:lang w:val="en-AU"/>
              </w:rPr>
              <w:t>µ</w:t>
            </w:r>
            <w:r w:rsidRPr="00C35920">
              <w:rPr>
                <w:i/>
                <w:highlight w:val="yellow"/>
                <w:vertAlign w:val="subscript"/>
                <w:lang w:val="en-AU"/>
              </w:rPr>
              <w:t>UL,carrier1</w:t>
            </w:r>
            <w:r w:rsidRPr="00C35920">
              <w:rPr>
                <w:highlight w:val="yellow"/>
              </w:rPr>
              <w:t xml:space="preserve"> corresponds to the subcarrier spacing of the uplink transmitted before the switching gap and the </w:t>
            </w:r>
            <w:r w:rsidRPr="00C35920">
              <w:rPr>
                <w:i/>
                <w:highlight w:val="yellow"/>
                <w:lang w:val="en-AU"/>
              </w:rPr>
              <w:t>µ</w:t>
            </w:r>
            <w:r w:rsidRPr="00C35920">
              <w:rPr>
                <w:i/>
                <w:highlight w:val="yellow"/>
                <w:vertAlign w:val="subscript"/>
                <w:lang w:val="en-AU"/>
              </w:rPr>
              <w:t>UL,carrier2</w:t>
            </w:r>
            <w:r w:rsidRPr="00C35920">
              <w:rPr>
                <w:highlight w:val="yellow"/>
              </w:rPr>
              <w:t xml:space="preserve"> corresponds to the subcarrier spacing of the uplink transmitted after the switching gap.</w:t>
            </w:r>
          </w:p>
          <w:p w14:paraId="58C7D6E5" w14:textId="77777777" w:rsidR="00254F10" w:rsidRDefault="00254F10" w:rsidP="00254F10">
            <w:pPr>
              <w:rPr>
                <w:b/>
                <w:bCs/>
              </w:rPr>
            </w:pPr>
          </w:p>
        </w:tc>
      </w:tr>
    </w:tbl>
    <w:p w14:paraId="40BE5BF4" w14:textId="0EC310DD" w:rsidR="00254F10" w:rsidRDefault="00254F10" w:rsidP="00254F10">
      <w:pPr>
        <w:rPr>
          <w:b/>
          <w:bCs/>
        </w:rPr>
      </w:pPr>
    </w:p>
    <w:p w14:paraId="6C6A95EB" w14:textId="107D4706" w:rsidR="0025265D" w:rsidRPr="0025265D" w:rsidRDefault="0025265D" w:rsidP="00254F10">
      <w:r w:rsidRPr="0025265D">
        <w:t>We propose the following changes if RAN1 decide to choose option 2</w:t>
      </w:r>
      <w:r w:rsidR="00C35920">
        <w:t xml:space="preserve"> for the </w:t>
      </w:r>
      <w:r w:rsidR="00C35920" w:rsidRPr="00C35920">
        <w:rPr>
          <w:highlight w:val="yellow"/>
        </w:rPr>
        <w:t>highlighted part</w:t>
      </w:r>
      <w:r w:rsidR="00C35920">
        <w:t xml:space="preserve"> in the above spec</w:t>
      </w:r>
      <w:r w:rsidRPr="0025265D">
        <w:t>.</w:t>
      </w:r>
    </w:p>
    <w:p w14:paraId="7BBC4437" w14:textId="1B71D410" w:rsidR="00254F10" w:rsidRDefault="00254F10" w:rsidP="00254F10">
      <w:r w:rsidRPr="00254F10">
        <w:rPr>
          <w:u w:val="single"/>
        </w:rPr>
        <w:t xml:space="preserve">After an uplink switching, </w:t>
      </w:r>
      <w:r>
        <w:t>the</w:t>
      </w:r>
      <w:r w:rsidRPr="00B309FC">
        <w:t xml:space="preserve"> UE does not expect to perform more than one</w:t>
      </w:r>
      <w:r>
        <w:t xml:space="preserve"> another</w:t>
      </w:r>
      <w:r w:rsidRPr="00B309FC">
        <w:t xml:space="preserve"> </w:t>
      </w:r>
      <w:r>
        <w:t>uplink</w:t>
      </w:r>
      <w:r w:rsidRPr="00B309FC">
        <w:t xml:space="preserve"> switching in a slot</w:t>
      </w:r>
      <w:r>
        <w:t xml:space="preserve"> </w:t>
      </w:r>
      <w:r w:rsidRPr="00254F10">
        <w:rPr>
          <w:u w:val="single"/>
        </w:rPr>
        <w:t>for a 14-symbol period starting at the end of the switch, where the symbol duration is according to</w:t>
      </w:r>
      <w:r w:rsidRPr="00254F10">
        <w:t xml:space="preserve"> </w:t>
      </w:r>
      <w:r>
        <w:t>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,carrier1</w:t>
      </w:r>
      <w:r>
        <w:t xml:space="preserve"> corresponds to the subcarrier spacing of the </w:t>
      </w:r>
      <w:r w:rsidR="0025265D" w:rsidRPr="00254F10">
        <w:t xml:space="preserve">active </w:t>
      </w:r>
      <w:r w:rsidR="0025265D">
        <w:t>uplink</w:t>
      </w:r>
      <w:r w:rsidR="0025265D" w:rsidRPr="00254F10">
        <w:t xml:space="preserve"> BWP of one carrier </w:t>
      </w:r>
      <w:r>
        <w:t xml:space="preserve">and the </w:t>
      </w:r>
      <w:r w:rsidRPr="004567DC">
        <w:rPr>
          <w:i/>
          <w:lang w:val="en-AU"/>
        </w:rPr>
        <w:t>µ</w:t>
      </w:r>
      <w:r w:rsidRPr="004567DC">
        <w:rPr>
          <w:i/>
          <w:vertAlign w:val="subscript"/>
          <w:lang w:val="en-AU"/>
        </w:rPr>
        <w:t>UL</w:t>
      </w:r>
      <w:r>
        <w:rPr>
          <w:i/>
          <w:vertAlign w:val="subscript"/>
          <w:lang w:val="en-AU"/>
        </w:rPr>
        <w:t>,carrier2</w:t>
      </w:r>
      <w:r>
        <w:t xml:space="preserve"> corresponds to the subcarrier spacing of the </w:t>
      </w:r>
      <w:r w:rsidR="0025265D" w:rsidRPr="00254F10">
        <w:t xml:space="preserve">active </w:t>
      </w:r>
      <w:r w:rsidR="0025265D">
        <w:t>uplink</w:t>
      </w:r>
      <w:r w:rsidR="0025265D" w:rsidRPr="00254F10">
        <w:t xml:space="preserve"> BWP of the other</w:t>
      </w:r>
      <w:r w:rsidR="0025265D" w:rsidRPr="00254F10">
        <w:rPr>
          <w:u w:val="single"/>
        </w:rPr>
        <w:t xml:space="preserve"> carrier</w:t>
      </w:r>
      <w:r w:rsidR="0025265D" w:rsidRPr="00254F10">
        <w:t xml:space="preserve"> uplink</w:t>
      </w:r>
      <w:r w:rsidR="0025265D">
        <w:t xml:space="preserve">. </w:t>
      </w:r>
    </w:p>
    <w:p w14:paraId="68CD5ABB" w14:textId="77777777" w:rsidR="002F18D9" w:rsidRDefault="002F18D9" w:rsidP="00254F10"/>
    <w:p w14:paraId="7382436D" w14:textId="78E13018" w:rsidR="002F18D9" w:rsidRDefault="002F18D9" w:rsidP="002F18D9">
      <w:pPr>
        <w:rPr>
          <w:b/>
          <w:bCs/>
        </w:rPr>
      </w:pPr>
      <w:r w:rsidRPr="00953E61">
        <w:rPr>
          <w:b/>
          <w:bCs/>
        </w:rPr>
        <w:t xml:space="preserve">Proposal </w:t>
      </w:r>
      <w:r w:rsidR="000975D2">
        <w:rPr>
          <w:b/>
          <w:bCs/>
        </w:rPr>
        <w:t>5</w:t>
      </w:r>
      <w:r>
        <w:rPr>
          <w:b/>
          <w:bCs/>
        </w:rPr>
        <w:t>:</w:t>
      </w:r>
      <w:r w:rsidRPr="00953E61">
        <w:rPr>
          <w:b/>
          <w:bCs/>
        </w:rPr>
        <w:t xml:space="preserve"> </w:t>
      </w:r>
      <w:r>
        <w:rPr>
          <w:b/>
          <w:bCs/>
        </w:rPr>
        <w:t>to avoid the back-to-back SRS switching, adopt one of the following proposals</w:t>
      </w:r>
    </w:p>
    <w:p w14:paraId="1EF78992" w14:textId="397E30F0" w:rsidR="002F18D9" w:rsidRPr="002F18D9" w:rsidRDefault="002F18D9" w:rsidP="002F18D9">
      <w:pPr>
        <w:pStyle w:val="ListParagraph"/>
        <w:numPr>
          <w:ilvl w:val="0"/>
          <w:numId w:val="17"/>
        </w:numPr>
        <w:rPr>
          <w:rFonts w:ascii="Times New Roman" w:hAnsi="Times New Roman"/>
          <w:b/>
          <w:bCs/>
          <w:sz w:val="20"/>
          <w:szCs w:val="20"/>
        </w:rPr>
      </w:pPr>
      <w:r w:rsidRPr="002F18D9">
        <w:rPr>
          <w:rFonts w:ascii="Times New Roman" w:hAnsi="Times New Roman"/>
          <w:b/>
          <w:bCs/>
          <w:sz w:val="20"/>
          <w:szCs w:val="20"/>
        </w:rPr>
        <w:t>Option 1</w:t>
      </w:r>
    </w:p>
    <w:p w14:paraId="2FAD675D" w14:textId="77777777" w:rsidR="002F18D9" w:rsidRPr="004377DB" w:rsidRDefault="002F18D9" w:rsidP="002F18D9">
      <w:pPr>
        <w:pStyle w:val="ListParagraph"/>
        <w:numPr>
          <w:ilvl w:val="0"/>
          <w:numId w:val="15"/>
        </w:numPr>
        <w:rPr>
          <w:rFonts w:ascii="Times New Roman" w:hAnsi="Times New Roman"/>
          <w:b/>
          <w:bCs/>
          <w:sz w:val="20"/>
          <w:szCs w:val="20"/>
        </w:rPr>
      </w:pPr>
      <w:r>
        <w:rPr>
          <w:rFonts w:ascii="Times New Roman" w:hAnsi="Times New Roman"/>
          <w:b/>
          <w:bCs/>
          <w:sz w:val="20"/>
          <w:szCs w:val="20"/>
        </w:rPr>
        <w:t>T</w:t>
      </w:r>
      <w:r w:rsidRPr="001B0687">
        <w:rPr>
          <w:rFonts w:ascii="Times New Roman" w:hAnsi="Times New Roman"/>
          <w:b/>
          <w:bCs/>
          <w:sz w:val="20"/>
          <w:szCs w:val="20"/>
        </w:rPr>
        <w:t xml:space="preserve">he switch location should be </w:t>
      </w:r>
      <w:r>
        <w:rPr>
          <w:rFonts w:ascii="Times New Roman" w:hAnsi="Times New Roman"/>
          <w:b/>
          <w:bCs/>
          <w:sz w:val="20"/>
          <w:szCs w:val="20"/>
        </w:rPr>
        <w:t>always</w:t>
      </w:r>
      <w:r w:rsidRPr="001B0687">
        <w:rPr>
          <w:rFonts w:ascii="Times New Roman" w:hAnsi="Times New Roman"/>
          <w:b/>
          <w:bCs/>
          <w:sz w:val="20"/>
          <w:szCs w:val="20"/>
        </w:rPr>
        <w:t xml:space="preserve"> at a slot boundary in the CC with higher SCS</w:t>
      </w:r>
    </w:p>
    <w:p w14:paraId="5B514ABF" w14:textId="77777777" w:rsidR="00181C7E" w:rsidRDefault="00181C7E" w:rsidP="00181C7E">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Pr="00944D63">
        <w:rPr>
          <w:rFonts w:ascii="Times New Roman" w:hAnsi="Times New Roman"/>
          <w:b/>
          <w:bCs/>
          <w:sz w:val="20"/>
          <w:szCs w:val="20"/>
        </w:rPr>
        <w:t>CC1 (</w:t>
      </w:r>
      <w:r w:rsidRPr="004377DB">
        <w:rPr>
          <w:rFonts w:ascii="Times New Roman" w:hAnsi="Times New Roman"/>
          <w:b/>
          <w:bCs/>
          <w:sz w:val="20"/>
          <w:szCs w:val="20"/>
        </w:rPr>
        <w:t>FDD</w:t>
      </w:r>
      <w:r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2A63250A" w14:textId="77777777" w:rsidR="002F18D9" w:rsidRPr="004377DB" w:rsidRDefault="002F18D9" w:rsidP="002F18D9">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7DE63D32" w14:textId="33CE9DD0" w:rsidR="002F18D9" w:rsidRDefault="002F18D9" w:rsidP="002F18D9">
      <w:pPr>
        <w:pStyle w:val="ListParagraph"/>
        <w:numPr>
          <w:ilvl w:val="0"/>
          <w:numId w:val="17"/>
        </w:numPr>
        <w:rPr>
          <w:rFonts w:ascii="Times New Roman" w:hAnsi="Times New Roman"/>
          <w:b/>
          <w:bCs/>
          <w:sz w:val="20"/>
          <w:szCs w:val="20"/>
        </w:rPr>
      </w:pPr>
      <w:r>
        <w:rPr>
          <w:rFonts w:ascii="Times New Roman" w:hAnsi="Times New Roman"/>
          <w:b/>
          <w:bCs/>
          <w:sz w:val="20"/>
          <w:szCs w:val="20"/>
        </w:rPr>
        <w:t>Option 2</w:t>
      </w:r>
    </w:p>
    <w:p w14:paraId="179CAA25" w14:textId="48E011B7" w:rsidR="002F18D9" w:rsidRPr="002F18D9" w:rsidRDefault="002F18D9" w:rsidP="002F18D9">
      <w:pPr>
        <w:pStyle w:val="ListParagraph"/>
        <w:numPr>
          <w:ilvl w:val="0"/>
          <w:numId w:val="15"/>
        </w:numPr>
        <w:rPr>
          <w:rFonts w:ascii="Times New Roman" w:hAnsi="Times New Roman"/>
          <w:b/>
          <w:bCs/>
          <w:sz w:val="20"/>
          <w:szCs w:val="20"/>
        </w:rPr>
      </w:pPr>
      <w:r w:rsidRPr="002F18D9">
        <w:rPr>
          <w:rFonts w:ascii="Times New Roman" w:hAnsi="Times New Roman"/>
          <w:b/>
          <w:bCs/>
          <w:sz w:val="20"/>
          <w:szCs w:val="20"/>
        </w:rPr>
        <w:t>Adopt the text proposal in section 3.2</w:t>
      </w:r>
    </w:p>
    <w:p w14:paraId="2559A92F" w14:textId="0D628F12" w:rsidR="00254F10" w:rsidRDefault="00254F10" w:rsidP="00254F10">
      <w:pPr>
        <w:rPr>
          <w:b/>
          <w:bCs/>
        </w:rPr>
      </w:pPr>
    </w:p>
    <w:p w14:paraId="1917557F" w14:textId="79842511" w:rsidR="00530A1F" w:rsidRDefault="00530A1F" w:rsidP="00530A1F">
      <w:pPr>
        <w:pStyle w:val="Heading1"/>
        <w:rPr>
          <w:lang w:eastAsia="zh-CN"/>
        </w:rPr>
      </w:pPr>
      <w:r w:rsidRPr="00530A1F">
        <w:rPr>
          <w:lang w:eastAsia="zh-CN"/>
        </w:rPr>
        <w:t>Max</w:t>
      </w:r>
      <w:r w:rsidR="000975D2">
        <w:rPr>
          <w:lang w:eastAsia="zh-CN"/>
        </w:rPr>
        <w:t>imum</w:t>
      </w:r>
      <w:r w:rsidRPr="00530A1F">
        <w:rPr>
          <w:lang w:eastAsia="zh-CN"/>
        </w:rPr>
        <w:t xml:space="preserve"> data rate</w:t>
      </w:r>
    </w:p>
    <w:p w14:paraId="6998460C" w14:textId="5C74009B" w:rsidR="00530A1F" w:rsidRDefault="006B5BFC" w:rsidP="00530A1F">
      <w:pPr>
        <w:rPr>
          <w:lang w:val="en-GB" w:eastAsia="zh-CN"/>
        </w:rPr>
      </w:pPr>
      <w:r>
        <w:rPr>
          <w:lang w:val="en-GB" w:eastAsia="zh-CN"/>
        </w:rPr>
        <w:t>In TS36.306, the following date rate equation is defined</w:t>
      </w:r>
      <w:r w:rsidR="001633C9">
        <w:rPr>
          <w:lang w:val="en-GB" w:eastAsia="zh-CN"/>
        </w:rPr>
        <w:t xml:space="preserve">. </w:t>
      </w:r>
      <w:r w:rsidR="00920A87">
        <w:rPr>
          <w:lang w:val="en-GB" w:eastAsia="zh-CN"/>
        </w:rPr>
        <w:t>With the UL Tx switching, we propose the following notes</w:t>
      </w:r>
      <w:r w:rsidR="00715557">
        <w:rPr>
          <w:lang w:val="en-GB" w:eastAsia="zh-CN"/>
        </w:rPr>
        <w:t>.</w:t>
      </w:r>
      <w:r w:rsidR="00516E74">
        <w:rPr>
          <w:lang w:val="en-GB" w:eastAsia="zh-CN"/>
        </w:rPr>
        <w:t xml:space="preserve"> Firstly, we need the note 2 to achieve the peak data rate without considering the transient gap as this is not alw</w:t>
      </w:r>
      <w:r w:rsidR="00172600">
        <w:rPr>
          <w:lang w:val="en-GB" w:eastAsia="zh-CN"/>
        </w:rPr>
        <w:t xml:space="preserve">ays </w:t>
      </w:r>
      <w:r w:rsidR="001209AF">
        <w:rPr>
          <w:lang w:val="en-GB" w:eastAsia="zh-CN"/>
        </w:rPr>
        <w:t xml:space="preserve">the case. </w:t>
      </w:r>
      <w:r w:rsidR="00AA0A57">
        <w:rPr>
          <w:lang w:val="en-GB" w:eastAsia="zh-CN"/>
        </w:rPr>
        <w:t xml:space="preserve">In addition, we propose note 3 </w:t>
      </w:r>
      <w:r w:rsidR="002242B2">
        <w:rPr>
          <w:lang w:val="en-GB" w:eastAsia="zh-CN"/>
        </w:rPr>
        <w:t xml:space="preserve">for the peak data rate </w:t>
      </w:r>
      <w:r w:rsidR="00AA0A57">
        <w:rPr>
          <w:lang w:val="en-GB" w:eastAsia="zh-CN"/>
        </w:rPr>
        <w:t xml:space="preserve">with considering </w:t>
      </w:r>
      <w:r w:rsidR="00772734">
        <w:rPr>
          <w:lang w:val="en-GB" w:eastAsia="zh-CN"/>
        </w:rPr>
        <w:t>the transient period</w:t>
      </w:r>
      <w:r w:rsidR="00C20BB8">
        <w:rPr>
          <w:lang w:val="en-GB" w:eastAsia="zh-CN"/>
        </w:rPr>
        <w:t xml:space="preserve"> which could provide guidance to the practical deployment. </w:t>
      </w:r>
    </w:p>
    <w:p w14:paraId="0FC3EA7E" w14:textId="77777777" w:rsidR="006B5BFC" w:rsidRPr="00197361" w:rsidRDefault="006B5BFC" w:rsidP="006B5BFC">
      <w:pPr>
        <w:pStyle w:val="EQ"/>
        <w:jc w:val="center"/>
      </w:pPr>
      <w:r w:rsidRPr="00197361">
        <w:object w:dxaOrig="6619" w:dyaOrig="700" w14:anchorId="0784E14D">
          <v:shape id="_x0000_i1026" type="#_x0000_t75" style="width:330pt;height:34.5pt" o:ole="">
            <v:imagedata r:id="rId13" o:title=""/>
          </v:shape>
          <o:OLEObject Type="Embed" ProgID="Equation.3" ShapeID="_x0000_i1026" DrawAspect="Content" ObjectID="_1664402560" r:id="rId14"/>
        </w:object>
      </w:r>
    </w:p>
    <w:p w14:paraId="261779AD" w14:textId="110308B7" w:rsidR="00E018D1" w:rsidRDefault="00E018D1" w:rsidP="00E018D1">
      <w:pPr>
        <w:pStyle w:val="NO"/>
        <w:rPr>
          <w:lang w:eastAsia="ja-JP"/>
        </w:rPr>
      </w:pPr>
      <w:r w:rsidRPr="00197361">
        <w:t>NOTE</w:t>
      </w:r>
      <w:r w:rsidR="00682CE5" w:rsidRPr="00197361">
        <w:t xml:space="preserve"> 1</w:t>
      </w:r>
      <w:r w:rsidRPr="00197361">
        <w:t>: </w:t>
      </w:r>
      <w:r w:rsidR="001734F7">
        <w:t xml:space="preserve"> </w:t>
      </w:r>
      <w:r w:rsidRPr="00197361">
        <w:t xml:space="preserve">Only one </w:t>
      </w:r>
      <w:r>
        <w:t>of the UL or SUL carriers (the one with the higher data rate) is counted for a cell operating SUL.</w:t>
      </w:r>
    </w:p>
    <w:p w14:paraId="6DA3A282" w14:textId="149EE5BB" w:rsidR="00E018D1" w:rsidRDefault="00E018D1" w:rsidP="00341DB1">
      <w:pPr>
        <w:pStyle w:val="NO"/>
        <w:ind w:left="1170" w:hanging="900"/>
        <w:rPr>
          <w:color w:val="FF0000"/>
          <w:u w:val="single"/>
          <w:lang w:eastAsia="zh-CN"/>
        </w:rPr>
      </w:pPr>
      <w:r>
        <w:rPr>
          <w:color w:val="FF0000"/>
          <w:u w:val="single"/>
        </w:rPr>
        <w:t>NOTE</w:t>
      </w:r>
      <w:r w:rsidR="002C530E">
        <w:rPr>
          <w:color w:val="FF0000"/>
          <w:u w:val="single"/>
        </w:rPr>
        <w:t xml:space="preserve"> 2</w:t>
      </w:r>
      <w:r>
        <w:rPr>
          <w:color w:val="FF0000"/>
          <w:u w:val="single"/>
        </w:rPr>
        <w:t>: </w:t>
      </w:r>
      <w:r w:rsidR="00341DB1">
        <w:rPr>
          <w:color w:val="FF0000"/>
          <w:u w:val="single"/>
        </w:rPr>
        <w:t xml:space="preserve"> </w:t>
      </w:r>
      <w:r>
        <w:rPr>
          <w:color w:val="FF0000"/>
          <w:u w:val="single"/>
        </w:rPr>
        <w:t>When the UE is configured with UL Tx switching, only the supported MIMO layer combination that results in the highest combined data rate is counted for the cells.</w:t>
      </w:r>
    </w:p>
    <w:p w14:paraId="399E4C10" w14:textId="76D2EB6F" w:rsidR="00E018D1" w:rsidRDefault="00E018D1" w:rsidP="00E018D1">
      <w:pPr>
        <w:pStyle w:val="NO"/>
        <w:rPr>
          <w:color w:val="FF0000"/>
          <w:u w:val="single"/>
        </w:rPr>
      </w:pPr>
      <w:r>
        <w:rPr>
          <w:color w:val="FF0000"/>
          <w:u w:val="single"/>
        </w:rPr>
        <w:t>NOTE</w:t>
      </w:r>
      <w:r w:rsidR="002C530E">
        <w:rPr>
          <w:color w:val="FF0000"/>
          <w:u w:val="single"/>
        </w:rPr>
        <w:t xml:space="preserve"> 3</w:t>
      </w:r>
      <w:r>
        <w:rPr>
          <w:color w:val="FF0000"/>
          <w:u w:val="single"/>
        </w:rPr>
        <w:t>: </w:t>
      </w:r>
      <w:r w:rsidR="00341DB1">
        <w:rPr>
          <w:color w:val="FF0000"/>
          <w:u w:val="single"/>
        </w:rPr>
        <w:t xml:space="preserve"> </w:t>
      </w:r>
      <w:r>
        <w:rPr>
          <w:color w:val="FF0000"/>
          <w:u w:val="single"/>
        </w:rPr>
        <w:t>When the UE is configured with UL Tx switching, and the supported MIMO layer combination with the highest combined data results in switching gaps in either DL or UL then the maximum data rate is correspondingly reduced in the DL or UL, respectively.</w:t>
      </w:r>
    </w:p>
    <w:p w14:paraId="70A6A0F3" w14:textId="39283796" w:rsidR="004F42F1" w:rsidRDefault="004F42F1" w:rsidP="006E30EE">
      <w:pPr>
        <w:pStyle w:val="Default"/>
        <w:rPr>
          <w:bCs/>
          <w:sz w:val="20"/>
          <w:szCs w:val="20"/>
        </w:rPr>
      </w:pPr>
    </w:p>
    <w:p w14:paraId="56E94B82" w14:textId="4020FC5B" w:rsidR="00847810" w:rsidRDefault="000B18B5" w:rsidP="006E30EE">
      <w:pPr>
        <w:pStyle w:val="Default"/>
        <w:rPr>
          <w:b/>
          <w:sz w:val="20"/>
          <w:szCs w:val="20"/>
        </w:rPr>
      </w:pPr>
      <w:bookmarkStart w:id="10" w:name="OLE_LINK2"/>
      <w:r w:rsidRPr="00150614">
        <w:rPr>
          <w:b/>
          <w:sz w:val="20"/>
          <w:szCs w:val="20"/>
        </w:rPr>
        <w:t xml:space="preserve">Proposal </w:t>
      </w:r>
      <w:r w:rsidR="000975D2">
        <w:rPr>
          <w:b/>
          <w:sz w:val="20"/>
          <w:szCs w:val="20"/>
        </w:rPr>
        <w:t>6</w:t>
      </w:r>
      <w:r w:rsidRPr="00150614">
        <w:rPr>
          <w:b/>
          <w:sz w:val="20"/>
          <w:szCs w:val="20"/>
        </w:rPr>
        <w:t xml:space="preserve">: adopt the </w:t>
      </w:r>
      <w:r w:rsidR="00150614" w:rsidRPr="00150614">
        <w:rPr>
          <w:b/>
          <w:sz w:val="20"/>
          <w:szCs w:val="20"/>
        </w:rPr>
        <w:t xml:space="preserve">above </w:t>
      </w:r>
      <w:r w:rsidRPr="00150614">
        <w:rPr>
          <w:b/>
          <w:sz w:val="20"/>
          <w:szCs w:val="20"/>
        </w:rPr>
        <w:t xml:space="preserve">notes </w:t>
      </w:r>
      <w:r w:rsidR="00150614" w:rsidRPr="00150614">
        <w:rPr>
          <w:b/>
          <w:sz w:val="20"/>
          <w:szCs w:val="20"/>
        </w:rPr>
        <w:t>for</w:t>
      </w:r>
      <w:r w:rsidR="00197361">
        <w:rPr>
          <w:b/>
          <w:sz w:val="20"/>
          <w:szCs w:val="20"/>
        </w:rPr>
        <w:t xml:space="preserve"> the</w:t>
      </w:r>
      <w:r w:rsidR="00150614" w:rsidRPr="00150614">
        <w:rPr>
          <w:b/>
          <w:sz w:val="20"/>
          <w:szCs w:val="20"/>
        </w:rPr>
        <w:t xml:space="preserve"> max</w:t>
      </w:r>
      <w:r w:rsidR="00197361">
        <w:rPr>
          <w:b/>
          <w:sz w:val="20"/>
          <w:szCs w:val="20"/>
        </w:rPr>
        <w:t>imum</w:t>
      </w:r>
      <w:r w:rsidR="00150614" w:rsidRPr="00150614">
        <w:rPr>
          <w:b/>
          <w:sz w:val="20"/>
          <w:szCs w:val="20"/>
        </w:rPr>
        <w:t xml:space="preserve"> data rate</w:t>
      </w:r>
    </w:p>
    <w:p w14:paraId="7E6D1565" w14:textId="77777777" w:rsidR="000975D2" w:rsidRPr="00150614" w:rsidRDefault="000975D2" w:rsidP="006E30EE">
      <w:pPr>
        <w:pStyle w:val="Default"/>
        <w:rPr>
          <w:b/>
          <w:sz w:val="20"/>
          <w:szCs w:val="20"/>
        </w:rPr>
      </w:pPr>
    </w:p>
    <w:bookmarkEnd w:id="10"/>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5752586" w:rsidR="00225438" w:rsidRDefault="00225438" w:rsidP="00225438">
      <w:pPr>
        <w:rPr>
          <w:lang w:val="en-GB"/>
        </w:rPr>
      </w:pPr>
      <w:r>
        <w:rPr>
          <w:lang w:val="en-GB"/>
        </w:rPr>
        <w:t>We discussed</w:t>
      </w:r>
      <w:r w:rsidR="009F547E" w:rsidRPr="009F547E">
        <w:rPr>
          <w:lang w:val="en-GB"/>
        </w:rPr>
        <w:t xml:space="preserve"> </w:t>
      </w:r>
      <w:r w:rsidR="00BF3A79">
        <w:rPr>
          <w:lang w:val="en-GB"/>
        </w:rPr>
        <w:t xml:space="preserve">the open issues on </w:t>
      </w:r>
      <w:r w:rsidR="00D306A3">
        <w:rPr>
          <w:lang w:val="en-GB"/>
        </w:rPr>
        <w:t>switching period</w:t>
      </w:r>
      <w:r w:rsidR="00452D9C">
        <w:rPr>
          <w:lang w:val="en-GB"/>
        </w:rPr>
        <w:t xml:space="preserve">, placement of transient time, </w:t>
      </w:r>
      <w:r w:rsidR="00452D9C" w:rsidRPr="00F621A1">
        <w:rPr>
          <w:lang w:val="en-GB"/>
        </w:rPr>
        <w:t xml:space="preserve">UE preparation time, </w:t>
      </w:r>
      <w:r w:rsidR="00452D9C">
        <w:rPr>
          <w:lang w:val="en-GB"/>
        </w:rPr>
        <w:t>switching mechanism for inter</w:t>
      </w:r>
      <w:r w:rsidR="004C2F9A">
        <w:rPr>
          <w:lang w:val="en-GB"/>
        </w:rPr>
        <w:t>-</w:t>
      </w:r>
      <w:r w:rsidR="00452D9C">
        <w:rPr>
          <w:lang w:val="en-GB"/>
        </w:rPr>
        <w:t>band CA, and switching mechanism for EN</w:t>
      </w:r>
      <w:r w:rsidR="00542DA4">
        <w:rPr>
          <w:lang w:val="en-GB"/>
        </w:rPr>
        <w:t>-</w:t>
      </w:r>
      <w:r w:rsidR="00452D9C">
        <w:rPr>
          <w:lang w:val="en-GB"/>
        </w:rPr>
        <w:t>DC.</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2"/>
    <w:bookmarkEnd w:id="3"/>
    <w:p w14:paraId="2EF0B7CE" w14:textId="77777777" w:rsidR="007973F3" w:rsidRDefault="007973F3" w:rsidP="007973F3">
      <w:pPr>
        <w:pStyle w:val="Default"/>
        <w:rPr>
          <w:b/>
          <w:bCs/>
          <w:color w:val="auto"/>
          <w:sz w:val="20"/>
          <w:szCs w:val="20"/>
          <w:lang w:eastAsia="en-US"/>
        </w:rPr>
      </w:pPr>
    </w:p>
    <w:p w14:paraId="2F306910" w14:textId="77777777" w:rsidR="000975D2" w:rsidRDefault="000975D2" w:rsidP="000975D2">
      <w:pPr>
        <w:rPr>
          <w:b/>
          <w:bCs/>
        </w:rPr>
      </w:pPr>
      <w:bookmarkStart w:id="11" w:name="OLE_LINK1"/>
      <w:r w:rsidRPr="0031095D">
        <w:rPr>
          <w:b/>
          <w:bCs/>
        </w:rPr>
        <w:t>Proposal 1</w:t>
      </w:r>
      <w:r>
        <w:rPr>
          <w:b/>
          <w:bCs/>
        </w:rPr>
        <w:t xml:space="preserve">: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0BCAF2DE" w14:textId="77777777" w:rsidR="000975D2" w:rsidRPr="0031095D" w:rsidRDefault="000975D2" w:rsidP="000975D2">
      <w:pPr>
        <w:rPr>
          <w:b/>
          <w:bCs/>
        </w:rPr>
      </w:pPr>
    </w:p>
    <w:p w14:paraId="4BE53DC5" w14:textId="52D4FB62" w:rsidR="000975D2" w:rsidRPr="000975D2" w:rsidRDefault="000975D2" w:rsidP="000975D2">
      <w:pPr>
        <w:rPr>
          <w:b/>
          <w:bCs/>
        </w:rPr>
      </w:pPr>
      <w:r w:rsidRPr="0031095D">
        <w:rPr>
          <w:b/>
          <w:bCs/>
        </w:rPr>
        <w:t xml:space="preserve">Proposal </w:t>
      </w:r>
      <w:r>
        <w:rPr>
          <w:b/>
          <w:bCs/>
        </w:rPr>
        <w:t xml:space="preserve">2: Define requirements allowing dropping transmissions on a CC due to SRS transmission on another CC, even if this CC is not configured with SRS switching, as long as the CC is configured with UL Tx switching.  </w:t>
      </w:r>
    </w:p>
    <w:p w14:paraId="347F9BE3" w14:textId="77777777" w:rsidR="000975D2" w:rsidRPr="0031095D" w:rsidRDefault="000975D2" w:rsidP="000975D2">
      <w:pPr>
        <w:rPr>
          <w:b/>
          <w:bCs/>
        </w:rPr>
      </w:pPr>
    </w:p>
    <w:p w14:paraId="1E8C2DD5" w14:textId="77777777" w:rsidR="000975D2" w:rsidRPr="00DE2448" w:rsidRDefault="000975D2" w:rsidP="000975D2">
      <w:pPr>
        <w:rPr>
          <w:b/>
          <w:bCs/>
        </w:rPr>
      </w:pPr>
      <w:r w:rsidRPr="00466BB8">
        <w:rPr>
          <w:b/>
          <w:bCs/>
        </w:rPr>
        <w:t>Proposal 3: Choose one of th</w:t>
      </w:r>
      <w:r w:rsidRPr="00DE2448">
        <w:rPr>
          <w:b/>
          <w:bCs/>
        </w:rPr>
        <w:t xml:space="preserve">e following options: </w:t>
      </w:r>
    </w:p>
    <w:p w14:paraId="02C6FA1B" w14:textId="77777777" w:rsidR="000975D2" w:rsidRPr="00466BB8" w:rsidRDefault="000975D2" w:rsidP="000975D2">
      <w:pPr>
        <w:pStyle w:val="ListParagraph"/>
        <w:numPr>
          <w:ilvl w:val="0"/>
          <w:numId w:val="39"/>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ring the SRS transmission on CC3 and the interruption time caused by RF tuning, UE is not expected to be scheduled or configured with other transmission requiring UL Tx switching</w:t>
      </w:r>
    </w:p>
    <w:p w14:paraId="26759A5A" w14:textId="77777777" w:rsidR="000975D2" w:rsidRPr="00466BB8" w:rsidRDefault="000975D2" w:rsidP="000975D2">
      <w:pPr>
        <w:pStyle w:val="ListParagraph"/>
        <w:numPr>
          <w:ilvl w:val="0"/>
          <w:numId w:val="39"/>
        </w:numPr>
        <w:rPr>
          <w:rFonts w:ascii="Times New Roman" w:hAnsi="Times New Roman"/>
          <w:b/>
          <w:bCs/>
          <w:sz w:val="20"/>
          <w:szCs w:val="20"/>
        </w:rPr>
      </w:pPr>
      <w:r w:rsidRPr="00466BB8">
        <w:rPr>
          <w:rFonts w:ascii="Times New Roman" w:hAnsi="Times New Roman"/>
          <w:b/>
          <w:bCs/>
          <w:sz w:val="20"/>
          <w:szCs w:val="20"/>
        </w:rPr>
        <w:t>Define</w:t>
      </w:r>
      <w:r>
        <w:rPr>
          <w:rFonts w:ascii="Times New Roman" w:hAnsi="Times New Roman"/>
          <w:b/>
          <w:bCs/>
          <w:sz w:val="20"/>
          <w:szCs w:val="20"/>
        </w:rPr>
        <w:t xml:space="preserve"> </w:t>
      </w:r>
      <w:r w:rsidRPr="00466BB8">
        <w:rPr>
          <w:rFonts w:ascii="Times New Roman" w:hAnsi="Times New Roman"/>
          <w:b/>
          <w:bCs/>
          <w:sz w:val="20"/>
          <w:szCs w:val="20"/>
        </w:rPr>
        <w:t>rules on the order in which the UE state vs. dropping decisions are</w:t>
      </w:r>
      <w:r>
        <w:rPr>
          <w:rFonts w:ascii="Times New Roman" w:hAnsi="Times New Roman"/>
          <w:b/>
          <w:bCs/>
          <w:sz w:val="20"/>
          <w:szCs w:val="20"/>
        </w:rPr>
        <w:t xml:space="preserve"> being</w:t>
      </w:r>
      <w:r w:rsidRPr="00466BB8">
        <w:rPr>
          <w:rFonts w:ascii="Times New Roman" w:hAnsi="Times New Roman"/>
          <w:b/>
          <w:bCs/>
          <w:sz w:val="20"/>
          <w:szCs w:val="20"/>
        </w:rPr>
        <w:t xml:space="preserve"> made  </w:t>
      </w:r>
    </w:p>
    <w:p w14:paraId="68C6FF0A" w14:textId="77777777" w:rsidR="00542DA4" w:rsidRDefault="00542DA4" w:rsidP="00E96D8D">
      <w:pPr>
        <w:rPr>
          <w:b/>
          <w:bCs/>
        </w:rPr>
      </w:pPr>
    </w:p>
    <w:p w14:paraId="063E23C6" w14:textId="2F9EF248" w:rsidR="000B18B5" w:rsidRPr="0025265D" w:rsidRDefault="000B18B5" w:rsidP="000B18B5">
      <w:pPr>
        <w:rPr>
          <w:b/>
          <w:bCs/>
        </w:rPr>
      </w:pPr>
      <w:r w:rsidRPr="0025265D">
        <w:rPr>
          <w:b/>
          <w:bCs/>
        </w:rPr>
        <w:t xml:space="preserve">Proposal </w:t>
      </w:r>
      <w:r w:rsidR="000975D2">
        <w:rPr>
          <w:b/>
          <w:bCs/>
        </w:rPr>
        <w:t>4</w:t>
      </w:r>
      <w:r w:rsidRPr="0025265D">
        <w:rPr>
          <w:b/>
          <w:bCs/>
        </w:rPr>
        <w:t xml:space="preserve">: </w:t>
      </w:r>
      <w:r>
        <w:rPr>
          <w:b/>
          <w:bCs/>
        </w:rPr>
        <w:t>conclude NOT to support switching caused by SRS transmission or other reasons.</w:t>
      </w:r>
    </w:p>
    <w:p w14:paraId="236A197E" w14:textId="77777777" w:rsidR="00F67779" w:rsidRDefault="00F67779" w:rsidP="007973F3">
      <w:pPr>
        <w:pStyle w:val="Default"/>
        <w:rPr>
          <w:b/>
          <w:bCs/>
          <w:color w:val="auto"/>
          <w:sz w:val="20"/>
          <w:szCs w:val="20"/>
          <w:lang w:eastAsia="en-US"/>
        </w:rPr>
      </w:pPr>
    </w:p>
    <w:bookmarkEnd w:id="11"/>
    <w:p w14:paraId="0A38B005" w14:textId="7FC17A36" w:rsidR="000B18B5" w:rsidRDefault="000B18B5" w:rsidP="000B18B5">
      <w:pPr>
        <w:rPr>
          <w:b/>
          <w:bCs/>
        </w:rPr>
      </w:pPr>
      <w:r w:rsidRPr="00953E61">
        <w:rPr>
          <w:b/>
          <w:bCs/>
        </w:rPr>
        <w:t xml:space="preserve">Proposal </w:t>
      </w:r>
      <w:r w:rsidR="000975D2">
        <w:rPr>
          <w:b/>
          <w:bCs/>
        </w:rPr>
        <w:t>5</w:t>
      </w:r>
      <w:r>
        <w:rPr>
          <w:b/>
          <w:bCs/>
        </w:rPr>
        <w:t>:</w:t>
      </w:r>
      <w:r w:rsidRPr="00953E61">
        <w:rPr>
          <w:b/>
          <w:bCs/>
        </w:rPr>
        <w:t xml:space="preserve"> </w:t>
      </w:r>
      <w:r>
        <w:rPr>
          <w:b/>
          <w:bCs/>
        </w:rPr>
        <w:t>to avoid the back-to-back SRS switching, adopt one of the following proposals</w:t>
      </w:r>
    </w:p>
    <w:p w14:paraId="3BC56252" w14:textId="77777777" w:rsidR="000B18B5" w:rsidRPr="002F18D9" w:rsidRDefault="000B18B5" w:rsidP="000B18B5">
      <w:pPr>
        <w:pStyle w:val="ListParagraph"/>
        <w:numPr>
          <w:ilvl w:val="0"/>
          <w:numId w:val="17"/>
        </w:numPr>
        <w:rPr>
          <w:rFonts w:ascii="Times New Roman" w:hAnsi="Times New Roman"/>
          <w:b/>
          <w:bCs/>
          <w:sz w:val="20"/>
          <w:szCs w:val="20"/>
        </w:rPr>
      </w:pPr>
      <w:r w:rsidRPr="002F18D9">
        <w:rPr>
          <w:rFonts w:ascii="Times New Roman" w:hAnsi="Times New Roman"/>
          <w:b/>
          <w:bCs/>
          <w:sz w:val="20"/>
          <w:szCs w:val="20"/>
        </w:rPr>
        <w:t>Option 1</w:t>
      </w:r>
    </w:p>
    <w:p w14:paraId="1E59A79A" w14:textId="77777777" w:rsidR="000B18B5" w:rsidRPr="004377DB" w:rsidRDefault="000B18B5" w:rsidP="000B18B5">
      <w:pPr>
        <w:pStyle w:val="ListParagraph"/>
        <w:numPr>
          <w:ilvl w:val="0"/>
          <w:numId w:val="15"/>
        </w:numPr>
        <w:rPr>
          <w:rFonts w:ascii="Times New Roman" w:hAnsi="Times New Roman"/>
          <w:b/>
          <w:bCs/>
          <w:sz w:val="20"/>
          <w:szCs w:val="20"/>
        </w:rPr>
      </w:pPr>
      <w:r>
        <w:rPr>
          <w:rFonts w:ascii="Times New Roman" w:hAnsi="Times New Roman"/>
          <w:b/>
          <w:bCs/>
          <w:sz w:val="20"/>
          <w:szCs w:val="20"/>
        </w:rPr>
        <w:t>T</w:t>
      </w:r>
      <w:r w:rsidRPr="001B0687">
        <w:rPr>
          <w:rFonts w:ascii="Times New Roman" w:hAnsi="Times New Roman"/>
          <w:b/>
          <w:bCs/>
          <w:sz w:val="20"/>
          <w:szCs w:val="20"/>
        </w:rPr>
        <w:t xml:space="preserve">he switch location should be </w:t>
      </w:r>
      <w:r>
        <w:rPr>
          <w:rFonts w:ascii="Times New Roman" w:hAnsi="Times New Roman"/>
          <w:b/>
          <w:bCs/>
          <w:sz w:val="20"/>
          <w:szCs w:val="20"/>
        </w:rPr>
        <w:t>always</w:t>
      </w:r>
      <w:r w:rsidRPr="001B0687">
        <w:rPr>
          <w:rFonts w:ascii="Times New Roman" w:hAnsi="Times New Roman"/>
          <w:b/>
          <w:bCs/>
          <w:sz w:val="20"/>
          <w:szCs w:val="20"/>
        </w:rPr>
        <w:t xml:space="preserve"> at a slot boundary in the CC with higher SCS</w:t>
      </w:r>
    </w:p>
    <w:p w14:paraId="707F812E" w14:textId="77777777" w:rsidR="000B18B5" w:rsidRDefault="000B18B5" w:rsidP="000B18B5">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Pr="00944D63">
        <w:rPr>
          <w:rFonts w:ascii="Times New Roman" w:hAnsi="Times New Roman"/>
          <w:b/>
          <w:bCs/>
          <w:sz w:val="20"/>
          <w:szCs w:val="20"/>
        </w:rPr>
        <w:t>CC1 (</w:t>
      </w:r>
      <w:r w:rsidRPr="004377DB">
        <w:rPr>
          <w:rFonts w:ascii="Times New Roman" w:hAnsi="Times New Roman"/>
          <w:b/>
          <w:bCs/>
          <w:sz w:val="20"/>
          <w:szCs w:val="20"/>
        </w:rPr>
        <w:t>FDD</w:t>
      </w:r>
      <w:r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668BB16D" w14:textId="77777777" w:rsidR="000B18B5" w:rsidRPr="004377DB" w:rsidRDefault="000B18B5" w:rsidP="000B18B5">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18229C36" w14:textId="77777777" w:rsidR="000B18B5" w:rsidRDefault="000B18B5" w:rsidP="000B18B5">
      <w:pPr>
        <w:pStyle w:val="ListParagraph"/>
        <w:numPr>
          <w:ilvl w:val="0"/>
          <w:numId w:val="17"/>
        </w:numPr>
        <w:rPr>
          <w:rFonts w:ascii="Times New Roman" w:hAnsi="Times New Roman"/>
          <w:b/>
          <w:bCs/>
          <w:sz w:val="20"/>
          <w:szCs w:val="20"/>
        </w:rPr>
      </w:pPr>
      <w:r>
        <w:rPr>
          <w:rFonts w:ascii="Times New Roman" w:hAnsi="Times New Roman"/>
          <w:b/>
          <w:bCs/>
          <w:sz w:val="20"/>
          <w:szCs w:val="20"/>
        </w:rPr>
        <w:t>Option 2</w:t>
      </w:r>
    </w:p>
    <w:p w14:paraId="02CF6F87" w14:textId="77777777" w:rsidR="000B18B5" w:rsidRPr="002F18D9" w:rsidRDefault="000B18B5" w:rsidP="000B18B5">
      <w:pPr>
        <w:pStyle w:val="ListParagraph"/>
        <w:numPr>
          <w:ilvl w:val="0"/>
          <w:numId w:val="15"/>
        </w:numPr>
        <w:rPr>
          <w:rFonts w:ascii="Times New Roman" w:hAnsi="Times New Roman"/>
          <w:b/>
          <w:bCs/>
          <w:sz w:val="20"/>
          <w:szCs w:val="20"/>
        </w:rPr>
      </w:pPr>
      <w:r w:rsidRPr="002F18D9">
        <w:rPr>
          <w:rFonts w:ascii="Times New Roman" w:hAnsi="Times New Roman"/>
          <w:b/>
          <w:bCs/>
          <w:sz w:val="20"/>
          <w:szCs w:val="20"/>
        </w:rPr>
        <w:t>Adopt the text proposal in section 3.2</w:t>
      </w:r>
    </w:p>
    <w:p w14:paraId="43D383A1" w14:textId="100B4714" w:rsidR="005F04FC" w:rsidRPr="005D1904" w:rsidRDefault="005F04FC" w:rsidP="005D1904">
      <w:pPr>
        <w:rPr>
          <w:b/>
          <w:bCs/>
        </w:rPr>
      </w:pPr>
    </w:p>
    <w:p w14:paraId="13C685BB" w14:textId="1F775D84" w:rsidR="00150614" w:rsidRPr="00150614" w:rsidRDefault="00150614" w:rsidP="00150614">
      <w:pPr>
        <w:pStyle w:val="Default"/>
        <w:rPr>
          <w:b/>
          <w:sz w:val="20"/>
          <w:szCs w:val="20"/>
        </w:rPr>
      </w:pPr>
      <w:r w:rsidRPr="00150614">
        <w:rPr>
          <w:b/>
          <w:sz w:val="20"/>
          <w:szCs w:val="20"/>
        </w:rPr>
        <w:t xml:space="preserve">Proposal </w:t>
      </w:r>
      <w:r w:rsidR="000975D2">
        <w:rPr>
          <w:b/>
          <w:sz w:val="20"/>
          <w:szCs w:val="20"/>
        </w:rPr>
        <w:t>6</w:t>
      </w:r>
      <w:r w:rsidRPr="00150614">
        <w:rPr>
          <w:b/>
          <w:sz w:val="20"/>
          <w:szCs w:val="20"/>
        </w:rPr>
        <w:t>: adopt the</w:t>
      </w:r>
      <w:r w:rsidR="000975D2">
        <w:rPr>
          <w:b/>
          <w:sz w:val="20"/>
          <w:szCs w:val="20"/>
        </w:rPr>
        <w:t xml:space="preserve"> following</w:t>
      </w:r>
      <w:r w:rsidRPr="00150614">
        <w:rPr>
          <w:b/>
          <w:sz w:val="20"/>
          <w:szCs w:val="20"/>
        </w:rPr>
        <w:t xml:space="preserve"> notes for </w:t>
      </w:r>
      <w:r w:rsidR="00197361">
        <w:rPr>
          <w:b/>
          <w:sz w:val="20"/>
          <w:szCs w:val="20"/>
        </w:rPr>
        <w:t xml:space="preserve">the </w:t>
      </w:r>
      <w:r w:rsidRPr="00150614">
        <w:rPr>
          <w:b/>
          <w:sz w:val="20"/>
          <w:szCs w:val="20"/>
        </w:rPr>
        <w:t>max</w:t>
      </w:r>
      <w:r w:rsidR="00197361">
        <w:rPr>
          <w:b/>
          <w:sz w:val="20"/>
          <w:szCs w:val="20"/>
        </w:rPr>
        <w:t>imum</w:t>
      </w:r>
      <w:r w:rsidRPr="00150614">
        <w:rPr>
          <w:b/>
          <w:sz w:val="20"/>
          <w:szCs w:val="20"/>
        </w:rPr>
        <w:t xml:space="preserve"> data rate</w:t>
      </w:r>
    </w:p>
    <w:p w14:paraId="7679B1A9" w14:textId="77777777" w:rsidR="001734F7" w:rsidRDefault="001734F7" w:rsidP="001734F7">
      <w:pPr>
        <w:pStyle w:val="NO"/>
        <w:ind w:left="1170" w:hanging="900"/>
        <w:rPr>
          <w:color w:val="FF0000"/>
          <w:u w:val="single"/>
          <w:lang w:eastAsia="zh-CN"/>
        </w:rPr>
      </w:pPr>
      <w:r>
        <w:rPr>
          <w:color w:val="FF0000"/>
          <w:u w:val="single"/>
        </w:rPr>
        <w:t>NOTE 2:  When the UE is configured with UL Tx switching, only the supported MIMO layer combination that results in the highest combined data rate is counted for the cells.</w:t>
      </w:r>
    </w:p>
    <w:p w14:paraId="35A1889F" w14:textId="77777777" w:rsidR="001734F7" w:rsidRDefault="001734F7" w:rsidP="001734F7">
      <w:pPr>
        <w:pStyle w:val="NO"/>
        <w:rPr>
          <w:color w:val="FF0000"/>
          <w:u w:val="single"/>
        </w:rPr>
      </w:pPr>
      <w:r>
        <w:rPr>
          <w:color w:val="FF0000"/>
          <w:u w:val="single"/>
        </w:rPr>
        <w:t>NOTE 3:  When the UE is configured with UL Tx switching, and the supported MIMO layer combination with the highest combined data results in switching gaps in either DL or UL then the maximum data rate is correspondingly reduced in the DL or UL, respectively.</w:t>
      </w:r>
    </w:p>
    <w:p w14:paraId="196599EC" w14:textId="3DDEA69C" w:rsidR="00357467" w:rsidRPr="0034055C" w:rsidRDefault="00357467" w:rsidP="0034055C">
      <w:pPr>
        <w:jc w:val="both"/>
        <w:rPr>
          <w:rFonts w:eastAsia="Times New Roman"/>
          <w:lang w:eastAsia="zh-CN"/>
        </w:rPr>
      </w:pPr>
    </w:p>
    <w:sectPr w:rsidR="00357467" w:rsidRPr="0034055C" w:rsidSect="00671B4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A8A52" w14:textId="77777777" w:rsidR="000B1775" w:rsidRDefault="000B1775">
      <w:r>
        <w:separator/>
      </w:r>
    </w:p>
  </w:endnote>
  <w:endnote w:type="continuationSeparator" w:id="0">
    <w:p w14:paraId="6B5D6257" w14:textId="77777777" w:rsidR="000B1775" w:rsidRDefault="000B1775">
      <w:r>
        <w:continuationSeparator/>
      </w:r>
    </w:p>
  </w:endnote>
  <w:endnote w:type="continuationNotice" w:id="1">
    <w:p w14:paraId="2CEDCA96" w14:textId="77777777" w:rsidR="000B1775" w:rsidRDefault="000B1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6EC7E" w14:textId="77777777" w:rsidR="00193049" w:rsidRDefault="00193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8938A" w14:textId="77777777" w:rsidR="000B1775" w:rsidRDefault="000B1775">
      <w:r>
        <w:separator/>
      </w:r>
    </w:p>
  </w:footnote>
  <w:footnote w:type="continuationSeparator" w:id="0">
    <w:p w14:paraId="1B04A68F" w14:textId="77777777" w:rsidR="000B1775" w:rsidRDefault="000B1775">
      <w:r>
        <w:continuationSeparator/>
      </w:r>
    </w:p>
  </w:footnote>
  <w:footnote w:type="continuationNotice" w:id="1">
    <w:p w14:paraId="09CDD58B" w14:textId="77777777" w:rsidR="000B1775" w:rsidRDefault="000B1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1F3F" w14:textId="77777777" w:rsidR="00193049" w:rsidRDefault="001930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BBFA7" w14:textId="77777777" w:rsidR="00193049" w:rsidRDefault="00193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8071BAD"/>
    <w:multiLevelType w:val="hybridMultilevel"/>
    <w:tmpl w:val="FA006F26"/>
    <w:lvl w:ilvl="0" w:tplc="6F906460">
      <w:start w:val="1"/>
      <w:numFmt w:val="bullet"/>
      <w:lvlText w:val="•"/>
      <w:lvlJc w:val="left"/>
      <w:pPr>
        <w:tabs>
          <w:tab w:val="num" w:pos="720"/>
        </w:tabs>
        <w:ind w:left="720" w:hanging="360"/>
      </w:pPr>
      <w:rPr>
        <w:rFonts w:ascii="Arial" w:hAnsi="Arial" w:hint="default"/>
      </w:rPr>
    </w:lvl>
    <w:lvl w:ilvl="1" w:tplc="51524DF0">
      <w:start w:val="1"/>
      <w:numFmt w:val="bullet"/>
      <w:lvlText w:val="•"/>
      <w:lvlJc w:val="left"/>
      <w:pPr>
        <w:tabs>
          <w:tab w:val="num" w:pos="1440"/>
        </w:tabs>
        <w:ind w:left="1440" w:hanging="360"/>
      </w:pPr>
      <w:rPr>
        <w:rFonts w:ascii="Arial" w:hAnsi="Arial" w:hint="default"/>
      </w:rPr>
    </w:lvl>
    <w:lvl w:ilvl="2" w:tplc="72B022FA" w:tentative="1">
      <w:start w:val="1"/>
      <w:numFmt w:val="bullet"/>
      <w:lvlText w:val="•"/>
      <w:lvlJc w:val="left"/>
      <w:pPr>
        <w:tabs>
          <w:tab w:val="num" w:pos="2160"/>
        </w:tabs>
        <w:ind w:left="2160" w:hanging="360"/>
      </w:pPr>
      <w:rPr>
        <w:rFonts w:ascii="Arial" w:hAnsi="Arial" w:hint="default"/>
      </w:rPr>
    </w:lvl>
    <w:lvl w:ilvl="3" w:tplc="1F5EDECA" w:tentative="1">
      <w:start w:val="1"/>
      <w:numFmt w:val="bullet"/>
      <w:lvlText w:val="•"/>
      <w:lvlJc w:val="left"/>
      <w:pPr>
        <w:tabs>
          <w:tab w:val="num" w:pos="2880"/>
        </w:tabs>
        <w:ind w:left="2880" w:hanging="360"/>
      </w:pPr>
      <w:rPr>
        <w:rFonts w:ascii="Arial" w:hAnsi="Arial" w:hint="default"/>
      </w:rPr>
    </w:lvl>
    <w:lvl w:ilvl="4" w:tplc="69265AF4" w:tentative="1">
      <w:start w:val="1"/>
      <w:numFmt w:val="bullet"/>
      <w:lvlText w:val="•"/>
      <w:lvlJc w:val="left"/>
      <w:pPr>
        <w:tabs>
          <w:tab w:val="num" w:pos="3600"/>
        </w:tabs>
        <w:ind w:left="3600" w:hanging="360"/>
      </w:pPr>
      <w:rPr>
        <w:rFonts w:ascii="Arial" w:hAnsi="Arial" w:hint="default"/>
      </w:rPr>
    </w:lvl>
    <w:lvl w:ilvl="5" w:tplc="B64AE0BE" w:tentative="1">
      <w:start w:val="1"/>
      <w:numFmt w:val="bullet"/>
      <w:lvlText w:val="•"/>
      <w:lvlJc w:val="left"/>
      <w:pPr>
        <w:tabs>
          <w:tab w:val="num" w:pos="4320"/>
        </w:tabs>
        <w:ind w:left="4320" w:hanging="360"/>
      </w:pPr>
      <w:rPr>
        <w:rFonts w:ascii="Arial" w:hAnsi="Arial" w:hint="default"/>
      </w:rPr>
    </w:lvl>
    <w:lvl w:ilvl="6" w:tplc="6B007E18" w:tentative="1">
      <w:start w:val="1"/>
      <w:numFmt w:val="bullet"/>
      <w:lvlText w:val="•"/>
      <w:lvlJc w:val="left"/>
      <w:pPr>
        <w:tabs>
          <w:tab w:val="num" w:pos="5040"/>
        </w:tabs>
        <w:ind w:left="5040" w:hanging="360"/>
      </w:pPr>
      <w:rPr>
        <w:rFonts w:ascii="Arial" w:hAnsi="Arial" w:hint="default"/>
      </w:rPr>
    </w:lvl>
    <w:lvl w:ilvl="7" w:tplc="DB7A5058" w:tentative="1">
      <w:start w:val="1"/>
      <w:numFmt w:val="bullet"/>
      <w:lvlText w:val="•"/>
      <w:lvlJc w:val="left"/>
      <w:pPr>
        <w:tabs>
          <w:tab w:val="num" w:pos="5760"/>
        </w:tabs>
        <w:ind w:left="5760" w:hanging="360"/>
      </w:pPr>
      <w:rPr>
        <w:rFonts w:ascii="Arial" w:hAnsi="Arial" w:hint="default"/>
      </w:rPr>
    </w:lvl>
    <w:lvl w:ilvl="8" w:tplc="8F705E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A3790D"/>
    <w:multiLevelType w:val="hybridMultilevel"/>
    <w:tmpl w:val="6EC4AD4C"/>
    <w:lvl w:ilvl="0" w:tplc="E72C3A88">
      <w:start w:val="1"/>
      <w:numFmt w:val="bullet"/>
      <w:lvlText w:val="•"/>
      <w:lvlJc w:val="left"/>
      <w:pPr>
        <w:tabs>
          <w:tab w:val="num" w:pos="720"/>
        </w:tabs>
        <w:ind w:left="720" w:hanging="360"/>
      </w:pPr>
      <w:rPr>
        <w:rFonts w:ascii="Arial" w:hAnsi="Arial" w:hint="default"/>
      </w:rPr>
    </w:lvl>
    <w:lvl w:ilvl="1" w:tplc="C93EDC86">
      <w:start w:val="1"/>
      <w:numFmt w:val="bullet"/>
      <w:lvlText w:val="•"/>
      <w:lvlJc w:val="left"/>
      <w:pPr>
        <w:tabs>
          <w:tab w:val="num" w:pos="1440"/>
        </w:tabs>
        <w:ind w:left="1440" w:hanging="360"/>
      </w:pPr>
      <w:rPr>
        <w:rFonts w:ascii="Arial" w:hAnsi="Arial" w:hint="default"/>
      </w:rPr>
    </w:lvl>
    <w:lvl w:ilvl="2" w:tplc="A354675A" w:tentative="1">
      <w:start w:val="1"/>
      <w:numFmt w:val="bullet"/>
      <w:lvlText w:val="•"/>
      <w:lvlJc w:val="left"/>
      <w:pPr>
        <w:tabs>
          <w:tab w:val="num" w:pos="2160"/>
        </w:tabs>
        <w:ind w:left="2160" w:hanging="360"/>
      </w:pPr>
      <w:rPr>
        <w:rFonts w:ascii="Arial" w:hAnsi="Arial" w:hint="default"/>
      </w:rPr>
    </w:lvl>
    <w:lvl w:ilvl="3" w:tplc="621E9D3A" w:tentative="1">
      <w:start w:val="1"/>
      <w:numFmt w:val="bullet"/>
      <w:lvlText w:val="•"/>
      <w:lvlJc w:val="left"/>
      <w:pPr>
        <w:tabs>
          <w:tab w:val="num" w:pos="2880"/>
        </w:tabs>
        <w:ind w:left="2880" w:hanging="360"/>
      </w:pPr>
      <w:rPr>
        <w:rFonts w:ascii="Arial" w:hAnsi="Arial" w:hint="default"/>
      </w:rPr>
    </w:lvl>
    <w:lvl w:ilvl="4" w:tplc="21F651CE" w:tentative="1">
      <w:start w:val="1"/>
      <w:numFmt w:val="bullet"/>
      <w:lvlText w:val="•"/>
      <w:lvlJc w:val="left"/>
      <w:pPr>
        <w:tabs>
          <w:tab w:val="num" w:pos="3600"/>
        </w:tabs>
        <w:ind w:left="3600" w:hanging="360"/>
      </w:pPr>
      <w:rPr>
        <w:rFonts w:ascii="Arial" w:hAnsi="Arial" w:hint="default"/>
      </w:rPr>
    </w:lvl>
    <w:lvl w:ilvl="5" w:tplc="BB76393A" w:tentative="1">
      <w:start w:val="1"/>
      <w:numFmt w:val="bullet"/>
      <w:lvlText w:val="•"/>
      <w:lvlJc w:val="left"/>
      <w:pPr>
        <w:tabs>
          <w:tab w:val="num" w:pos="4320"/>
        </w:tabs>
        <w:ind w:left="4320" w:hanging="360"/>
      </w:pPr>
      <w:rPr>
        <w:rFonts w:ascii="Arial" w:hAnsi="Arial" w:hint="default"/>
      </w:rPr>
    </w:lvl>
    <w:lvl w:ilvl="6" w:tplc="E58A8EFC" w:tentative="1">
      <w:start w:val="1"/>
      <w:numFmt w:val="bullet"/>
      <w:lvlText w:val="•"/>
      <w:lvlJc w:val="left"/>
      <w:pPr>
        <w:tabs>
          <w:tab w:val="num" w:pos="5040"/>
        </w:tabs>
        <w:ind w:left="5040" w:hanging="360"/>
      </w:pPr>
      <w:rPr>
        <w:rFonts w:ascii="Arial" w:hAnsi="Arial" w:hint="default"/>
      </w:rPr>
    </w:lvl>
    <w:lvl w:ilvl="7" w:tplc="D6C25B26" w:tentative="1">
      <w:start w:val="1"/>
      <w:numFmt w:val="bullet"/>
      <w:lvlText w:val="•"/>
      <w:lvlJc w:val="left"/>
      <w:pPr>
        <w:tabs>
          <w:tab w:val="num" w:pos="5760"/>
        </w:tabs>
        <w:ind w:left="5760" w:hanging="360"/>
      </w:pPr>
      <w:rPr>
        <w:rFonts w:ascii="Arial" w:hAnsi="Arial" w:hint="default"/>
      </w:rPr>
    </w:lvl>
    <w:lvl w:ilvl="8" w:tplc="530A17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3C6495"/>
    <w:multiLevelType w:val="hybridMultilevel"/>
    <w:tmpl w:val="5AC2355E"/>
    <w:lvl w:ilvl="0" w:tplc="E0687F3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8D32EA"/>
    <w:multiLevelType w:val="hybridMultilevel"/>
    <w:tmpl w:val="F822E126"/>
    <w:lvl w:ilvl="0" w:tplc="3AE0EEB4">
      <w:start w:val="2"/>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
  </w:num>
  <w:num w:numId="4">
    <w:abstractNumId w:val="15"/>
  </w:num>
  <w:num w:numId="5">
    <w:abstractNumId w:val="11"/>
  </w:num>
  <w:num w:numId="6">
    <w:abstractNumId w:val="22"/>
  </w:num>
  <w:num w:numId="7">
    <w:abstractNumId w:val="32"/>
  </w:num>
  <w:num w:numId="8">
    <w:abstractNumId w:val="24"/>
  </w:num>
  <w:num w:numId="9">
    <w:abstractNumId w:val="19"/>
  </w:num>
  <w:num w:numId="10">
    <w:abstractNumId w:val="30"/>
  </w:num>
  <w:num w:numId="11">
    <w:abstractNumId w:val="17"/>
  </w:num>
  <w:num w:numId="12">
    <w:abstractNumId w:val="28"/>
  </w:num>
  <w:num w:numId="13">
    <w:abstractNumId w:val="20"/>
  </w:num>
  <w:num w:numId="14">
    <w:abstractNumId w:val="10"/>
  </w:num>
  <w:num w:numId="15">
    <w:abstractNumId w:val="31"/>
  </w:num>
  <w:num w:numId="16">
    <w:abstractNumId w:val="16"/>
  </w:num>
  <w:num w:numId="17">
    <w:abstractNumId w:val="16"/>
  </w:num>
  <w:num w:numId="18">
    <w:abstractNumId w:val="5"/>
  </w:num>
  <w:num w:numId="19">
    <w:abstractNumId w:val="8"/>
  </w:num>
  <w:num w:numId="20">
    <w:abstractNumId w:val="14"/>
  </w:num>
  <w:num w:numId="21">
    <w:abstractNumId w:val="6"/>
  </w:num>
  <w:num w:numId="22">
    <w:abstractNumId w:val="4"/>
  </w:num>
  <w:num w:numId="23">
    <w:abstractNumId w:val="27"/>
  </w:num>
  <w:num w:numId="24">
    <w:abstractNumId w:val="23"/>
  </w:num>
  <w:num w:numId="25">
    <w:abstractNumId w:val="7"/>
  </w:num>
  <w:num w:numId="26">
    <w:abstractNumId w:val="26"/>
  </w:num>
  <w:num w:numId="27">
    <w:abstractNumId w:val="25"/>
  </w:num>
  <w:num w:numId="28">
    <w:abstractNumId w:val="2"/>
  </w:num>
  <w:num w:numId="29">
    <w:abstractNumId w:val="18"/>
  </w:num>
  <w:num w:numId="30">
    <w:abstractNumId w:val="23"/>
  </w:num>
  <w:num w:numId="31">
    <w:abstractNumId w:val="3"/>
  </w:num>
  <w:num w:numId="32">
    <w:abstractNumId w:val="29"/>
  </w:num>
  <w:num w:numId="33">
    <w:abstractNumId w:val="21"/>
  </w:num>
  <w:num w:numId="34">
    <w:abstractNumId w:val="13"/>
  </w:num>
  <w:num w:numId="35">
    <w:abstractNumId w:val="1"/>
  </w:num>
  <w:num w:numId="36">
    <w:abstractNumId w:val="1"/>
  </w:num>
  <w:num w:numId="37">
    <w:abstractNumId w:val="1"/>
  </w:num>
  <w:num w:numId="38">
    <w:abstractNumId w:val="1"/>
  </w:num>
  <w:num w:numId="3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1C0"/>
    <w:rsid w:val="0003723F"/>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514"/>
    <w:rsid w:val="00056675"/>
    <w:rsid w:val="000572A7"/>
    <w:rsid w:val="00057388"/>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99"/>
    <w:rsid w:val="00075AB6"/>
    <w:rsid w:val="00075CCD"/>
    <w:rsid w:val="00075CE6"/>
    <w:rsid w:val="000763BD"/>
    <w:rsid w:val="00076408"/>
    <w:rsid w:val="0007661E"/>
    <w:rsid w:val="00076652"/>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837"/>
    <w:rsid w:val="00122842"/>
    <w:rsid w:val="001229AB"/>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674"/>
    <w:rsid w:val="00160786"/>
    <w:rsid w:val="00160BEB"/>
    <w:rsid w:val="00162262"/>
    <w:rsid w:val="001623A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F8"/>
    <w:rsid w:val="00196B90"/>
    <w:rsid w:val="00196DE8"/>
    <w:rsid w:val="00196FF4"/>
    <w:rsid w:val="0019734F"/>
    <w:rsid w:val="00197361"/>
    <w:rsid w:val="00197588"/>
    <w:rsid w:val="0019773B"/>
    <w:rsid w:val="001977F7"/>
    <w:rsid w:val="00197ABF"/>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8F1"/>
    <w:rsid w:val="00256B22"/>
    <w:rsid w:val="00256D51"/>
    <w:rsid w:val="00256F02"/>
    <w:rsid w:val="002571AA"/>
    <w:rsid w:val="002571C8"/>
    <w:rsid w:val="002572F1"/>
    <w:rsid w:val="00257A62"/>
    <w:rsid w:val="00260156"/>
    <w:rsid w:val="0026075E"/>
    <w:rsid w:val="002608BD"/>
    <w:rsid w:val="00260FAD"/>
    <w:rsid w:val="002613BE"/>
    <w:rsid w:val="0026177E"/>
    <w:rsid w:val="002617F6"/>
    <w:rsid w:val="00261D05"/>
    <w:rsid w:val="002621AD"/>
    <w:rsid w:val="002623AC"/>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235"/>
    <w:rsid w:val="0029743A"/>
    <w:rsid w:val="00297499"/>
    <w:rsid w:val="002974AA"/>
    <w:rsid w:val="00297671"/>
    <w:rsid w:val="002977A0"/>
    <w:rsid w:val="00297A9D"/>
    <w:rsid w:val="00297F14"/>
    <w:rsid w:val="00297F46"/>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C"/>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B57"/>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BE2"/>
    <w:rsid w:val="003D4EDA"/>
    <w:rsid w:val="003D4F35"/>
    <w:rsid w:val="003D519A"/>
    <w:rsid w:val="003D5252"/>
    <w:rsid w:val="003D5717"/>
    <w:rsid w:val="003D5878"/>
    <w:rsid w:val="003D59FE"/>
    <w:rsid w:val="003D5F4B"/>
    <w:rsid w:val="003D63BA"/>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9D"/>
    <w:rsid w:val="004102A7"/>
    <w:rsid w:val="004103D8"/>
    <w:rsid w:val="00410713"/>
    <w:rsid w:val="004111F1"/>
    <w:rsid w:val="00411230"/>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74"/>
    <w:rsid w:val="00516E9E"/>
    <w:rsid w:val="00516F96"/>
    <w:rsid w:val="005173A4"/>
    <w:rsid w:val="005179DC"/>
    <w:rsid w:val="0052001B"/>
    <w:rsid w:val="00520AE3"/>
    <w:rsid w:val="00521294"/>
    <w:rsid w:val="00521B89"/>
    <w:rsid w:val="00521D24"/>
    <w:rsid w:val="00521D65"/>
    <w:rsid w:val="005221A4"/>
    <w:rsid w:val="00522483"/>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AC9"/>
    <w:rsid w:val="00560BCD"/>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97F"/>
    <w:rsid w:val="00574B3F"/>
    <w:rsid w:val="00574D14"/>
    <w:rsid w:val="00574FDC"/>
    <w:rsid w:val="005753DB"/>
    <w:rsid w:val="005756BD"/>
    <w:rsid w:val="005760C5"/>
    <w:rsid w:val="00576592"/>
    <w:rsid w:val="005766EA"/>
    <w:rsid w:val="00576A37"/>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223"/>
    <w:rsid w:val="005A6A3A"/>
    <w:rsid w:val="005A6BA8"/>
    <w:rsid w:val="005A6E87"/>
    <w:rsid w:val="005A78F9"/>
    <w:rsid w:val="005A7F72"/>
    <w:rsid w:val="005B0A7D"/>
    <w:rsid w:val="005B0D1B"/>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7B"/>
    <w:rsid w:val="005D2CB0"/>
    <w:rsid w:val="005D2EB7"/>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7D8"/>
    <w:rsid w:val="005E59C5"/>
    <w:rsid w:val="005E5C60"/>
    <w:rsid w:val="005E5E74"/>
    <w:rsid w:val="005E66F1"/>
    <w:rsid w:val="005E6718"/>
    <w:rsid w:val="005E6AFB"/>
    <w:rsid w:val="005E6C10"/>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406"/>
    <w:rsid w:val="00624C2C"/>
    <w:rsid w:val="00624C6E"/>
    <w:rsid w:val="00624FB3"/>
    <w:rsid w:val="00625B24"/>
    <w:rsid w:val="0062628C"/>
    <w:rsid w:val="0062657C"/>
    <w:rsid w:val="00626AF8"/>
    <w:rsid w:val="00626C25"/>
    <w:rsid w:val="00626E64"/>
    <w:rsid w:val="0062725A"/>
    <w:rsid w:val="00627338"/>
    <w:rsid w:val="00627BA3"/>
    <w:rsid w:val="00627BAB"/>
    <w:rsid w:val="00627C39"/>
    <w:rsid w:val="00627CD1"/>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11"/>
    <w:rsid w:val="006A5C57"/>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5BFC"/>
    <w:rsid w:val="006B6346"/>
    <w:rsid w:val="006B68AC"/>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30EE"/>
    <w:rsid w:val="006E3A94"/>
    <w:rsid w:val="006E3D3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0C51"/>
    <w:rsid w:val="007B1061"/>
    <w:rsid w:val="007B12EE"/>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30D6"/>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C45"/>
    <w:rsid w:val="00853DE8"/>
    <w:rsid w:val="00853F99"/>
    <w:rsid w:val="00854090"/>
    <w:rsid w:val="008540C8"/>
    <w:rsid w:val="00854983"/>
    <w:rsid w:val="00854A91"/>
    <w:rsid w:val="00854E0E"/>
    <w:rsid w:val="00854E21"/>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A6D"/>
    <w:rsid w:val="00874E33"/>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A3"/>
    <w:rsid w:val="008C620D"/>
    <w:rsid w:val="008C6970"/>
    <w:rsid w:val="008C69DC"/>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B0F"/>
    <w:rsid w:val="008F4BFE"/>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4202"/>
    <w:rsid w:val="00944335"/>
    <w:rsid w:val="0094484A"/>
    <w:rsid w:val="00944AF4"/>
    <w:rsid w:val="00944D63"/>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786"/>
    <w:rsid w:val="00AC6B45"/>
    <w:rsid w:val="00AC7470"/>
    <w:rsid w:val="00AC759B"/>
    <w:rsid w:val="00AC7DE9"/>
    <w:rsid w:val="00AC7F89"/>
    <w:rsid w:val="00AD12BD"/>
    <w:rsid w:val="00AD1557"/>
    <w:rsid w:val="00AD163D"/>
    <w:rsid w:val="00AD1814"/>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379F5"/>
    <w:rsid w:val="00B4003E"/>
    <w:rsid w:val="00B40292"/>
    <w:rsid w:val="00B406B2"/>
    <w:rsid w:val="00B40D73"/>
    <w:rsid w:val="00B4110D"/>
    <w:rsid w:val="00B411A3"/>
    <w:rsid w:val="00B412CB"/>
    <w:rsid w:val="00B416D8"/>
    <w:rsid w:val="00B417B5"/>
    <w:rsid w:val="00B41B34"/>
    <w:rsid w:val="00B425D3"/>
    <w:rsid w:val="00B42824"/>
    <w:rsid w:val="00B42879"/>
    <w:rsid w:val="00B430D3"/>
    <w:rsid w:val="00B437BD"/>
    <w:rsid w:val="00B43985"/>
    <w:rsid w:val="00B439FA"/>
    <w:rsid w:val="00B43D4D"/>
    <w:rsid w:val="00B440CF"/>
    <w:rsid w:val="00B440FA"/>
    <w:rsid w:val="00B4418B"/>
    <w:rsid w:val="00B443C5"/>
    <w:rsid w:val="00B4485B"/>
    <w:rsid w:val="00B451CE"/>
    <w:rsid w:val="00B453AD"/>
    <w:rsid w:val="00B4573D"/>
    <w:rsid w:val="00B45A61"/>
    <w:rsid w:val="00B45AC0"/>
    <w:rsid w:val="00B46501"/>
    <w:rsid w:val="00B46D6D"/>
    <w:rsid w:val="00B4732A"/>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CF"/>
    <w:rsid w:val="00B87809"/>
    <w:rsid w:val="00B87C60"/>
    <w:rsid w:val="00B87F42"/>
    <w:rsid w:val="00B90165"/>
    <w:rsid w:val="00B90615"/>
    <w:rsid w:val="00B9076E"/>
    <w:rsid w:val="00B90B71"/>
    <w:rsid w:val="00B91356"/>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77B"/>
    <w:rsid w:val="00BB2835"/>
    <w:rsid w:val="00BB284D"/>
    <w:rsid w:val="00BB365A"/>
    <w:rsid w:val="00BB37B0"/>
    <w:rsid w:val="00BB37B4"/>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44E"/>
    <w:rsid w:val="00BC38B8"/>
    <w:rsid w:val="00BC3CF8"/>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F1A"/>
    <w:rsid w:val="00C010F5"/>
    <w:rsid w:val="00C01835"/>
    <w:rsid w:val="00C01DFD"/>
    <w:rsid w:val="00C02192"/>
    <w:rsid w:val="00C02491"/>
    <w:rsid w:val="00C0279C"/>
    <w:rsid w:val="00C02C95"/>
    <w:rsid w:val="00C02CDE"/>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B8"/>
    <w:rsid w:val="00C20DD5"/>
    <w:rsid w:val="00C20F2A"/>
    <w:rsid w:val="00C2199F"/>
    <w:rsid w:val="00C21D7B"/>
    <w:rsid w:val="00C226CE"/>
    <w:rsid w:val="00C22EAB"/>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4849"/>
    <w:rsid w:val="00C649BF"/>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CDC"/>
    <w:rsid w:val="00CC5FBD"/>
    <w:rsid w:val="00CC606C"/>
    <w:rsid w:val="00CC620F"/>
    <w:rsid w:val="00CC728B"/>
    <w:rsid w:val="00CC7356"/>
    <w:rsid w:val="00CC742A"/>
    <w:rsid w:val="00CC74D5"/>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586"/>
    <w:rsid w:val="00D2664C"/>
    <w:rsid w:val="00D2670D"/>
    <w:rsid w:val="00D26B2E"/>
    <w:rsid w:val="00D26DBE"/>
    <w:rsid w:val="00D27264"/>
    <w:rsid w:val="00D27463"/>
    <w:rsid w:val="00D27AAD"/>
    <w:rsid w:val="00D27F01"/>
    <w:rsid w:val="00D3013B"/>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E0E"/>
    <w:rsid w:val="00DD5FF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5795"/>
    <w:rsid w:val="00E05A43"/>
    <w:rsid w:val="00E05FC4"/>
    <w:rsid w:val="00E062EF"/>
    <w:rsid w:val="00E066E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3C8"/>
    <w:rsid w:val="00E42532"/>
    <w:rsid w:val="00E42D71"/>
    <w:rsid w:val="00E42F0D"/>
    <w:rsid w:val="00E432AE"/>
    <w:rsid w:val="00E434D2"/>
    <w:rsid w:val="00E4356E"/>
    <w:rsid w:val="00E43B7E"/>
    <w:rsid w:val="00E43F1E"/>
    <w:rsid w:val="00E4418D"/>
    <w:rsid w:val="00E44370"/>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187B"/>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C2"/>
    <w:rsid w:val="00EF6482"/>
    <w:rsid w:val="00EF6569"/>
    <w:rsid w:val="00EF694F"/>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C5E"/>
    <w:rsid w:val="00F41D1F"/>
    <w:rsid w:val="00F42910"/>
    <w:rsid w:val="00F42A7F"/>
    <w:rsid w:val="00F42C2B"/>
    <w:rsid w:val="00F44833"/>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A85"/>
    <w:rsid w:val="00F83BC2"/>
    <w:rsid w:val="00F8404F"/>
    <w:rsid w:val="00F84089"/>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5A2"/>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F85"/>
    <w:rsid w:val="00FB2F94"/>
    <w:rsid w:val="00FB3CD6"/>
    <w:rsid w:val="00FB4065"/>
    <w:rsid w:val="00FB4760"/>
    <w:rsid w:val="00FB47B5"/>
    <w:rsid w:val="00FB48E8"/>
    <w:rsid w:val="00FB507C"/>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E51"/>
    <w:rsid w:val="00FC1F3F"/>
    <w:rsid w:val="00FC20A0"/>
    <w:rsid w:val="00FC22FE"/>
    <w:rsid w:val="00FC23FA"/>
    <w:rsid w:val="00FC2542"/>
    <w:rsid w:val="00FC25F4"/>
    <w:rsid w:val="00FC2635"/>
    <w:rsid w:val="00FC2742"/>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66c9988e76ee3121e056d105e0338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bf2493940c126dcd08bf0c54373a1c7"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E48A19-1FF7-42AF-9211-8E525C5EACDA}">
  <ds:schemaRefs>
    <ds:schemaRef ds:uri="http://schemas.openxmlformats.org/officeDocument/2006/bibliography"/>
  </ds:schemaRefs>
</ds:datastoreItem>
</file>

<file path=customXml/itemProps2.xml><?xml version="1.0" encoding="utf-8"?>
<ds:datastoreItem xmlns:ds="http://schemas.openxmlformats.org/officeDocument/2006/customXml" ds:itemID="{7571C92D-F031-4C54-8967-38530D0CB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1680</Words>
  <Characters>9581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9</cp:revision>
  <cp:lastPrinted>2020-02-15T00:34:00Z</cp:lastPrinted>
  <dcterms:created xsi:type="dcterms:W3CDTF">2020-10-16T16:10:00Z</dcterms:created>
  <dcterms:modified xsi:type="dcterms:W3CDTF">2020-10-17T07:08:00Z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dee09be7-6715-472d-a3ca-cfacedcda97e</vt:lpwstr>
  </property>
</Properties>
</file>